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1B4" w:rsidRPr="00CD63C8" w:rsidRDefault="00BB71B4" w:rsidP="00BB71B4">
      <w:pPr>
        <w:keepLines/>
        <w:tabs>
          <w:tab w:val="right" w:pos="10440"/>
          <w:tab w:val="right" w:pos="13323"/>
        </w:tabs>
        <w:autoSpaceDE/>
        <w:autoSpaceDN/>
        <w:adjustRightInd/>
        <w:spacing w:after="0"/>
        <w:rPr>
          <w:rFonts w:ascii="Arial" w:hAnsi="Arial" w:cs="Arial"/>
          <w:b/>
          <w:sz w:val="24"/>
          <w:szCs w:val="24"/>
          <w:lang w:eastAsia="zh-CN"/>
        </w:rPr>
      </w:pPr>
      <w:r w:rsidRPr="00CD63C8">
        <w:rPr>
          <w:rFonts w:ascii="Arial" w:eastAsia="MS Mincho" w:hAnsi="Arial" w:cs="Arial"/>
          <w:b/>
          <w:sz w:val="24"/>
          <w:szCs w:val="24"/>
        </w:rPr>
        <w:t>3GPP TSG-RAN WG4 Meeting #</w:t>
      </w:r>
      <w:r w:rsidRPr="00CD63C8">
        <w:rPr>
          <w:rFonts w:eastAsia="MS Mincho"/>
        </w:rPr>
        <w:t xml:space="preserve"> </w:t>
      </w:r>
      <w:r w:rsidR="00400B35">
        <w:rPr>
          <w:rFonts w:ascii="Arial" w:eastAsia="MS Mincho" w:hAnsi="Arial" w:cs="Arial"/>
          <w:b/>
          <w:sz w:val="24"/>
          <w:szCs w:val="24"/>
        </w:rPr>
        <w:t>100</w:t>
      </w:r>
      <w:r w:rsidRPr="00CD63C8">
        <w:rPr>
          <w:rFonts w:ascii="Arial" w:eastAsia="MS Mincho" w:hAnsi="Arial" w:cs="Arial"/>
          <w:b/>
          <w:sz w:val="24"/>
          <w:szCs w:val="24"/>
        </w:rPr>
        <w:t>-e</w:t>
      </w:r>
      <w:r w:rsidRPr="00CD63C8">
        <w:rPr>
          <w:rFonts w:ascii="Arial" w:eastAsia="MS Mincho" w:hAnsi="Arial" w:cs="Arial"/>
          <w:b/>
          <w:sz w:val="24"/>
          <w:szCs w:val="24"/>
        </w:rPr>
        <w:tab/>
      </w:r>
      <w:r w:rsidR="008A77D8" w:rsidRPr="008A77D8">
        <w:rPr>
          <w:rFonts w:ascii="Arial" w:eastAsia="MS Mincho" w:hAnsi="Arial" w:cs="Arial"/>
          <w:b/>
          <w:sz w:val="24"/>
          <w:szCs w:val="24"/>
        </w:rPr>
        <w:t>R4-2113065</w:t>
      </w:r>
    </w:p>
    <w:p w:rsidR="00BB71B4" w:rsidRPr="00CD63C8" w:rsidRDefault="00844049" w:rsidP="00BB71B4">
      <w:pPr>
        <w:tabs>
          <w:tab w:val="right" w:pos="9781"/>
          <w:tab w:val="right" w:pos="13323"/>
        </w:tabs>
        <w:autoSpaceDE/>
        <w:autoSpaceDN/>
        <w:adjustRightInd/>
        <w:spacing w:after="0"/>
        <w:outlineLvl w:val="0"/>
        <w:rPr>
          <w:rFonts w:ascii="Arial" w:hAnsi="Arial"/>
          <w:b/>
          <w:sz w:val="24"/>
          <w:szCs w:val="24"/>
          <w:lang w:eastAsia="zh-CN"/>
        </w:rPr>
      </w:pPr>
      <w:r w:rsidRPr="00B23518">
        <w:rPr>
          <w:rFonts w:ascii="Arial" w:hAnsi="Arial" w:cs="Arial"/>
          <w:b/>
          <w:sz w:val="24"/>
          <w:szCs w:val="24"/>
          <w:lang w:eastAsia="zh-CN"/>
        </w:rPr>
        <w:t>Electronic Meeting, August 16-27, 2021</w:t>
      </w:r>
    </w:p>
    <w:p w:rsidR="00237FCA" w:rsidRPr="009D3032" w:rsidRDefault="00237FCA" w:rsidP="00563F22">
      <w:pPr>
        <w:ind w:left="1985" w:hanging="1985"/>
        <w:rPr>
          <w:rFonts w:ascii="Arial" w:hAnsi="Arial"/>
          <w:b/>
          <w:noProof/>
          <w:sz w:val="24"/>
          <w:szCs w:val="20"/>
          <w:lang w:eastAsia="zh-CN"/>
        </w:rPr>
      </w:pPr>
    </w:p>
    <w:p w:rsidR="00563F22" w:rsidRPr="00023C30" w:rsidRDefault="00563F22" w:rsidP="00563F22">
      <w:pPr>
        <w:ind w:left="1985" w:hanging="1985"/>
        <w:rPr>
          <w:rFonts w:ascii="Arial" w:hAnsi="Arial" w:cs="Arial"/>
        </w:rPr>
      </w:pPr>
      <w:r w:rsidRPr="00790524">
        <w:rPr>
          <w:rFonts w:ascii="Arial" w:hAnsi="Arial" w:cs="Arial"/>
          <w:b/>
        </w:rPr>
        <w:t xml:space="preserve">Source: </w:t>
      </w:r>
      <w:r w:rsidRPr="00790524">
        <w:rPr>
          <w:rFonts w:ascii="Arial" w:hAnsi="Arial" w:cs="Arial"/>
          <w:b/>
        </w:rPr>
        <w:tab/>
      </w:r>
      <w:r w:rsidR="0022484B" w:rsidRPr="00023C30">
        <w:rPr>
          <w:rFonts w:ascii="Arial" w:hAnsi="Arial" w:cs="Arial"/>
        </w:rPr>
        <w:t>Huawei, HiSilicon</w:t>
      </w:r>
    </w:p>
    <w:p w:rsidR="00563F22" w:rsidRPr="009A31FD"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322C60">
        <w:rPr>
          <w:rFonts w:ascii="Arial" w:hAnsi="Arial" w:cs="Arial"/>
        </w:rPr>
        <w:t>O</w:t>
      </w:r>
      <w:r w:rsidR="004C077D">
        <w:rPr>
          <w:rFonts w:ascii="Arial" w:hAnsi="Arial" w:cs="Arial"/>
        </w:rPr>
        <w:t xml:space="preserve">n </w:t>
      </w:r>
      <w:r w:rsidR="00322C60">
        <w:rPr>
          <w:rFonts w:ascii="Arial" w:hAnsi="Arial" w:cs="Arial"/>
        </w:rPr>
        <w:t>i</w:t>
      </w:r>
      <w:r w:rsidR="00322C60" w:rsidRPr="00322C60">
        <w:rPr>
          <w:rFonts w:ascii="Arial" w:hAnsi="Arial" w:cs="Arial"/>
        </w:rPr>
        <w:t>ntroduction of operation in full unlicensed band 5925-7125MHz</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322C60" w:rsidRPr="00322C60">
        <w:rPr>
          <w:rFonts w:ascii="Arial" w:hAnsi="Arial" w:cs="Arial"/>
        </w:rPr>
        <w:t>8.2.1</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E54FE2">
        <w:rPr>
          <w:rFonts w:ascii="Arial" w:hAnsi="Arial" w:cs="Arial"/>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322C60" w:rsidRDefault="00322C60" w:rsidP="00322C60">
      <w:pPr>
        <w:rPr>
          <w:lang w:eastAsia="zh-CN"/>
        </w:rPr>
      </w:pPr>
      <w:r>
        <w:rPr>
          <w:lang w:eastAsia="zh-CN"/>
        </w:rPr>
        <w:t xml:space="preserve">At RAN#92 Meeting, a new WI on </w:t>
      </w:r>
      <w:r w:rsidRPr="004D5456">
        <w:rPr>
          <w:lang w:eastAsia="zh-CN"/>
        </w:rPr>
        <w:t>introduction of operation in full unlicensed band 5925-7125MHz was approved in [1].</w:t>
      </w:r>
      <w:r w:rsidR="004D5456">
        <w:rPr>
          <w:lang w:eastAsia="zh-CN"/>
        </w:rPr>
        <w:t xml:space="preserve"> The objectives for the WI are,</w:t>
      </w:r>
    </w:p>
    <w:p w:rsidR="004D5456" w:rsidRPr="00C402C3" w:rsidRDefault="004D5456" w:rsidP="004D5456">
      <w:pPr>
        <w:pStyle w:val="B1"/>
      </w:pPr>
      <w:bookmarkStart w:id="0" w:name="OLE_LINK3"/>
      <w:r w:rsidRPr="00216E4A">
        <w:t>-</w:t>
      </w:r>
      <w:r w:rsidRPr="00216E4A">
        <w:tab/>
        <w:t xml:space="preserve">Analyse regulatory requirements for countries/regions that have adopted license-exempt operation in </w:t>
      </w:r>
      <w:r>
        <w:t xml:space="preserve">the full </w:t>
      </w:r>
      <w:r w:rsidRPr="00216E4A">
        <w:t>5925-7125MHz frequency range:</w:t>
      </w:r>
    </w:p>
    <w:p w:rsidR="004D5456" w:rsidRDefault="004D5456" w:rsidP="004D5456">
      <w:pPr>
        <w:pStyle w:val="B2"/>
      </w:pPr>
      <w:r>
        <w:t>NOTE 1: The scope of the WI is Region 2 (Canada, Brazil, Peru, Chile) and Region 3 (South Korea) countries, regulatory parameters for which can be found from TR 37.890;</w:t>
      </w:r>
    </w:p>
    <w:p w:rsidR="004D5456" w:rsidRPr="00C402C3" w:rsidRDefault="004D5456" w:rsidP="004D5456">
      <w:pPr>
        <w:pStyle w:val="B2"/>
      </w:pPr>
      <w:r w:rsidRPr="00216E4A">
        <w:t xml:space="preserve">NOTE 2: Should more countries finalise the regulatory framework and/or a particular country changes the existing regulation for the </w:t>
      </w:r>
      <w:r>
        <w:t xml:space="preserve">full </w:t>
      </w:r>
      <w:r w:rsidRPr="00216E4A">
        <w:t>5925-7125MHz frequency range, it can be considered within the timeline of this WI subject for further RAN discussions.</w:t>
      </w:r>
    </w:p>
    <w:p w:rsidR="004D5456" w:rsidRDefault="004D5456" w:rsidP="004D5456">
      <w:pPr>
        <w:pStyle w:val="B1"/>
      </w:pPr>
      <w:r>
        <w:t>-</w:t>
      </w:r>
      <w:r>
        <w:tab/>
      </w:r>
      <w:r w:rsidRPr="00C402C3">
        <w:t>Depending on the regulatory requirements, determine whether they can be handled by existing NS values or whether new NS values are needed.</w:t>
      </w:r>
    </w:p>
    <w:p w:rsidR="004D5456" w:rsidRPr="00C402C3" w:rsidRDefault="004D5456" w:rsidP="004D5456">
      <w:pPr>
        <w:pStyle w:val="B1"/>
      </w:pPr>
      <w:r>
        <w:t>-</w:t>
      </w:r>
      <w:r>
        <w:tab/>
      </w:r>
      <w:r w:rsidRPr="00F332BF">
        <w:t xml:space="preserve">Depending on </w:t>
      </w:r>
      <w:r>
        <w:t xml:space="preserve">whether </w:t>
      </w:r>
      <w:r w:rsidRPr="00F332BF">
        <w:t xml:space="preserve">existing NS values </w:t>
      </w:r>
      <w:r>
        <w:t>cannot be re-used and/</w:t>
      </w:r>
      <w:r w:rsidRPr="00F332BF">
        <w:t>or whether new NS values are not possible</w:t>
      </w:r>
      <w:r>
        <w:t>, determine whether an existing band n96 can be re-used or</w:t>
      </w:r>
      <w:r w:rsidRPr="00F332BF">
        <w:t xml:space="preserve"> introduction </w:t>
      </w:r>
      <w:r>
        <w:t>of</w:t>
      </w:r>
      <w:r w:rsidRPr="00F332BF">
        <w:t xml:space="preserve"> a new band will be needed</w:t>
      </w:r>
      <w:r>
        <w:t>.</w:t>
      </w:r>
      <w:r w:rsidRPr="00C402C3">
        <w:t xml:space="preserve"> </w:t>
      </w:r>
    </w:p>
    <w:bookmarkEnd w:id="0"/>
    <w:p w:rsidR="004D5456" w:rsidRPr="00C402C3" w:rsidRDefault="004D5456" w:rsidP="004D5456">
      <w:pPr>
        <w:pStyle w:val="B1"/>
      </w:pPr>
      <w:r>
        <w:t>-</w:t>
      </w:r>
      <w:r>
        <w:tab/>
      </w:r>
      <w:r w:rsidRPr="00C402C3">
        <w:t>Define or update (if needed) system parameters such as channel bandwidths and channel arrangements</w:t>
      </w:r>
      <w:r>
        <w:t>.</w:t>
      </w:r>
    </w:p>
    <w:p w:rsidR="004D5456" w:rsidRPr="00C402C3" w:rsidRDefault="004D5456" w:rsidP="004D5456">
      <w:pPr>
        <w:pStyle w:val="B1"/>
      </w:pPr>
      <w:r>
        <w:t>-</w:t>
      </w:r>
      <w:r>
        <w:tab/>
      </w:r>
      <w:r w:rsidRPr="00C402C3">
        <w:t>Define or update (if needed) transmitter and receiver characteristics requirements for the UE</w:t>
      </w:r>
      <w:r>
        <w:t>.</w:t>
      </w:r>
    </w:p>
    <w:p w:rsidR="004D5456" w:rsidRPr="00C402C3" w:rsidRDefault="004D5456" w:rsidP="004D5456">
      <w:pPr>
        <w:pStyle w:val="B1"/>
      </w:pPr>
      <w:r>
        <w:t>-</w:t>
      </w:r>
      <w:r>
        <w:tab/>
      </w:r>
      <w:r w:rsidRPr="00C402C3">
        <w:t>Define or update (if needed) transmitter and receiver characteristics requirements for the BS</w:t>
      </w:r>
      <w:r>
        <w:t>.</w:t>
      </w:r>
    </w:p>
    <w:p w:rsidR="004D5456" w:rsidRPr="004D5456" w:rsidRDefault="004D5456" w:rsidP="00322C60">
      <w:pPr>
        <w:rPr>
          <w:lang w:val="en-GB" w:eastAsia="zh-CN"/>
        </w:rPr>
      </w:pPr>
      <w:r>
        <w:rPr>
          <w:lang w:val="en-GB" w:eastAsia="zh-CN"/>
        </w:rPr>
        <w:t xml:space="preserve">In this contribution, we provide some consideration on the </w:t>
      </w:r>
      <w:r w:rsidR="008A77D8">
        <w:rPr>
          <w:lang w:val="en-GB" w:eastAsia="zh-CN"/>
        </w:rPr>
        <w:t>UE power class aspect.</w:t>
      </w:r>
      <w:bookmarkStart w:id="1" w:name="_GoBack"/>
      <w:bookmarkEnd w:id="1"/>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C56D85" w:rsidRDefault="004D5456" w:rsidP="003D4A9C">
      <w:pPr>
        <w:rPr>
          <w:lang w:eastAsia="zh-CN"/>
        </w:rPr>
      </w:pPr>
      <w:r w:rsidRPr="004D5456">
        <w:rPr>
          <w:lang w:eastAsia="zh-CN"/>
        </w:rPr>
        <w:t xml:space="preserve">In </w:t>
      </w:r>
      <w:r>
        <w:rPr>
          <w:lang w:eastAsia="zh-CN"/>
        </w:rPr>
        <w:t>Rel-16 for NR unlicensed oper</w:t>
      </w:r>
      <w:r w:rsidR="00635F51">
        <w:rPr>
          <w:lang w:eastAsia="zh-CN"/>
        </w:rPr>
        <w:t xml:space="preserve">ation, a new band n96 was defined according to </w:t>
      </w:r>
      <w:r w:rsidR="00635F51" w:rsidRPr="00635F51">
        <w:rPr>
          <w:lang w:eastAsia="zh-CN"/>
        </w:rPr>
        <w:t>the FCC Report and Order FCC 20-51</w:t>
      </w:r>
      <w:r w:rsidR="00AD1F94">
        <w:rPr>
          <w:lang w:eastAsia="zh-CN"/>
        </w:rPr>
        <w:t>.</w:t>
      </w:r>
      <w:r w:rsidR="00230043">
        <w:rPr>
          <w:lang w:eastAsia="zh-CN"/>
        </w:rPr>
        <w:t xml:space="preserve"> Standard-power operation with the use of an </w:t>
      </w:r>
      <w:r w:rsidR="00230043" w:rsidRPr="00230043">
        <w:rPr>
          <w:lang w:eastAsia="zh-CN"/>
        </w:rPr>
        <w:t>Automated Frequency Coordination (AFC)</w:t>
      </w:r>
      <w:r w:rsidR="00230043">
        <w:rPr>
          <w:lang w:eastAsia="zh-CN"/>
        </w:rPr>
        <w:t xml:space="preserve"> and low-power indoor operations are allowed per FCC 20-51.</w:t>
      </w:r>
    </w:p>
    <w:p w:rsidR="002045EB" w:rsidRDefault="002045EB" w:rsidP="00230043">
      <w:pPr>
        <w:jc w:val="center"/>
        <w:rPr>
          <w:lang w:eastAsia="zh-CN"/>
        </w:rPr>
      </w:pPr>
      <w:r>
        <w:rPr>
          <w:noProof/>
          <w:lang w:eastAsia="zh-CN"/>
        </w:rPr>
        <w:drawing>
          <wp:inline distT="0" distB="0" distL="0" distR="0" wp14:anchorId="17EF6A97" wp14:editId="56D8F221">
            <wp:extent cx="4687745" cy="19702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28233" cy="1987310"/>
                    </a:xfrm>
                    <a:prstGeom prst="rect">
                      <a:avLst/>
                    </a:prstGeom>
                  </pic:spPr>
                </pic:pic>
              </a:graphicData>
            </a:graphic>
          </wp:inline>
        </w:drawing>
      </w:r>
    </w:p>
    <w:p w:rsidR="00E766FA" w:rsidRDefault="00546F33" w:rsidP="00E766FA">
      <w:pPr>
        <w:rPr>
          <w:lang w:eastAsia="zh-CN"/>
        </w:rPr>
      </w:pPr>
      <w:r>
        <w:rPr>
          <w:rFonts w:hint="eastAsia"/>
          <w:lang w:eastAsia="zh-CN"/>
        </w:rPr>
        <w:lastRenderedPageBreak/>
        <w:t>R</w:t>
      </w:r>
      <w:r>
        <w:rPr>
          <w:lang w:eastAsia="zh-CN"/>
        </w:rPr>
        <w:t xml:space="preserve">el-16 defines power class 5 with max output power 20 dBm. </w:t>
      </w:r>
      <w:r w:rsidR="00624C4C">
        <w:rPr>
          <w:lang w:eastAsia="zh-CN"/>
        </w:rPr>
        <w:t>As shown below, t</w:t>
      </w:r>
      <w:r>
        <w:rPr>
          <w:lang w:eastAsia="zh-CN"/>
        </w:rPr>
        <w:t xml:space="preserve">he </w:t>
      </w:r>
      <w:r w:rsidR="00624C4C">
        <w:rPr>
          <w:lang w:eastAsia="zh-CN"/>
        </w:rPr>
        <w:t xml:space="preserve">FCC regulatory requirements (transmit power density and spectrum </w:t>
      </w:r>
      <w:r w:rsidR="00A166F0">
        <w:rPr>
          <w:lang w:eastAsia="zh-CN"/>
        </w:rPr>
        <w:t>emission limits</w:t>
      </w:r>
      <w:r w:rsidR="00624C4C">
        <w:rPr>
          <w:lang w:eastAsia="zh-CN"/>
        </w:rPr>
        <w:t>)</w:t>
      </w:r>
      <w:r w:rsidR="00A166F0">
        <w:rPr>
          <w:lang w:eastAsia="zh-CN"/>
        </w:rPr>
        <w:t xml:space="preserve"> </w:t>
      </w:r>
      <w:r w:rsidR="00624C4C">
        <w:rPr>
          <w:lang w:eastAsia="zh-CN"/>
        </w:rPr>
        <w:t xml:space="preserve">are covered by NS_53 for low-power operations and NS_54 for </w:t>
      </w:r>
      <w:r w:rsidR="00A166F0">
        <w:rPr>
          <w:lang w:eastAsia="zh-CN"/>
        </w:rPr>
        <w:t>standard power operation.</w:t>
      </w:r>
    </w:p>
    <w:p w:rsidR="00E766FA" w:rsidRDefault="00E766FA" w:rsidP="00E766FA">
      <w:pPr>
        <w:pStyle w:val="TH"/>
        <w:rPr>
          <w:lang w:eastAsia="en-US"/>
        </w:rPr>
      </w:pPr>
      <w:r>
        <w:t>Table 6.2F.1-1 in 38.101: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2"/>
        <w:gridCol w:w="950"/>
        <w:gridCol w:w="1067"/>
        <w:gridCol w:w="950"/>
        <w:gridCol w:w="1067"/>
        <w:gridCol w:w="879"/>
        <w:gridCol w:w="1216"/>
        <w:gridCol w:w="1128"/>
        <w:gridCol w:w="1188"/>
      </w:tblGrid>
      <w:tr w:rsidR="00E766FA" w:rsidTr="00E766FA">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H"/>
            </w:pPr>
            <w:r>
              <w:t>NR</w:t>
            </w:r>
          </w:p>
          <w:p w:rsidR="00E766FA" w:rsidRDefault="00E766FA">
            <w:pPr>
              <w:pStyle w:val="TAH"/>
            </w:pPr>
            <w:r>
              <w:t>band</w:t>
            </w:r>
          </w:p>
        </w:tc>
        <w:tc>
          <w:tcPr>
            <w:tcW w:w="997" w:type="dxa"/>
            <w:tcBorders>
              <w:top w:val="single" w:sz="4" w:space="0" w:color="auto"/>
              <w:left w:val="single" w:sz="4" w:space="0" w:color="auto"/>
              <w:bottom w:val="single" w:sz="4" w:space="0" w:color="auto"/>
              <w:right w:val="single" w:sz="4" w:space="0" w:color="auto"/>
            </w:tcBorders>
            <w:hideMark/>
          </w:tcPr>
          <w:p w:rsidR="00E766FA" w:rsidRDefault="00E766FA">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rsidR="00E766FA" w:rsidRDefault="00E766FA">
            <w:pPr>
              <w:pStyle w:val="TAH"/>
            </w:pPr>
            <w:r>
              <w:t>Tolerance (dB)</w:t>
            </w:r>
          </w:p>
        </w:tc>
        <w:tc>
          <w:tcPr>
            <w:tcW w:w="997" w:type="dxa"/>
            <w:tcBorders>
              <w:top w:val="single" w:sz="4" w:space="0" w:color="auto"/>
              <w:left w:val="single" w:sz="4" w:space="0" w:color="auto"/>
              <w:bottom w:val="single" w:sz="4" w:space="0" w:color="auto"/>
              <w:right w:val="single" w:sz="4" w:space="0" w:color="auto"/>
            </w:tcBorders>
            <w:hideMark/>
          </w:tcPr>
          <w:p w:rsidR="00E766FA" w:rsidRDefault="00E766FA">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rsidR="00E766FA" w:rsidRDefault="00E766FA">
            <w:pPr>
              <w:pStyle w:val="TAH"/>
            </w:pPr>
            <w:r>
              <w:t>Tolerance (dB)</w:t>
            </w:r>
          </w:p>
        </w:tc>
        <w:tc>
          <w:tcPr>
            <w:tcW w:w="911" w:type="dxa"/>
            <w:tcBorders>
              <w:top w:val="single" w:sz="4" w:space="0" w:color="auto"/>
              <w:left w:val="single" w:sz="4" w:space="0" w:color="auto"/>
              <w:bottom w:val="single" w:sz="4" w:space="0" w:color="auto"/>
              <w:right w:val="single" w:sz="4" w:space="0" w:color="auto"/>
            </w:tcBorders>
            <w:hideMark/>
          </w:tcPr>
          <w:p w:rsidR="00E766FA" w:rsidRDefault="00E766FA">
            <w:pPr>
              <w:pStyle w:val="TAH"/>
            </w:pPr>
            <w:r>
              <w:t>Class 3 (dBm)</w:t>
            </w:r>
          </w:p>
        </w:tc>
        <w:tc>
          <w:tcPr>
            <w:tcW w:w="1249" w:type="dxa"/>
            <w:tcBorders>
              <w:top w:val="single" w:sz="4" w:space="0" w:color="auto"/>
              <w:left w:val="single" w:sz="4" w:space="0" w:color="auto"/>
              <w:bottom w:val="single" w:sz="4" w:space="0" w:color="auto"/>
              <w:right w:val="single" w:sz="4" w:space="0" w:color="auto"/>
            </w:tcBorders>
            <w:hideMark/>
          </w:tcPr>
          <w:p w:rsidR="00E766FA" w:rsidRDefault="00E766FA">
            <w:pPr>
              <w:pStyle w:val="TAH"/>
            </w:pPr>
            <w:r>
              <w:t>Tolerance (dB)</w:t>
            </w:r>
          </w:p>
        </w:tc>
        <w:tc>
          <w:tcPr>
            <w:tcW w:w="1215" w:type="dxa"/>
            <w:tcBorders>
              <w:top w:val="single" w:sz="4" w:space="0" w:color="auto"/>
              <w:left w:val="single" w:sz="4" w:space="0" w:color="auto"/>
              <w:bottom w:val="single" w:sz="4" w:space="0" w:color="auto"/>
              <w:right w:val="single" w:sz="4" w:space="0" w:color="auto"/>
            </w:tcBorders>
            <w:hideMark/>
          </w:tcPr>
          <w:p w:rsidR="00E766FA" w:rsidRDefault="00E766FA">
            <w:pPr>
              <w:pStyle w:val="TAH"/>
            </w:pPr>
            <w:r>
              <w:t>Class 5 (dBm)</w:t>
            </w:r>
          </w:p>
        </w:tc>
        <w:tc>
          <w:tcPr>
            <w:tcW w:w="1215" w:type="dxa"/>
            <w:tcBorders>
              <w:top w:val="single" w:sz="4" w:space="0" w:color="auto"/>
              <w:left w:val="single" w:sz="4" w:space="0" w:color="auto"/>
              <w:bottom w:val="single" w:sz="4" w:space="0" w:color="auto"/>
              <w:right w:val="single" w:sz="4" w:space="0" w:color="auto"/>
            </w:tcBorders>
            <w:hideMark/>
          </w:tcPr>
          <w:p w:rsidR="00E766FA" w:rsidRDefault="00E766FA">
            <w:pPr>
              <w:pStyle w:val="TAH"/>
            </w:pPr>
            <w:r>
              <w:t>Tolerance (dB)</w:t>
            </w:r>
          </w:p>
        </w:tc>
      </w:tr>
      <w:tr w:rsidR="00E766FA" w:rsidTr="00E766FA">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rPr>
                <w:lang w:val="fi-FI" w:eastAsia="fi-FI"/>
              </w:rPr>
            </w:pPr>
            <w:r>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rsidR="00E766FA" w:rsidRDefault="00E766FA">
            <w:pPr>
              <w:pStyle w:val="TAC"/>
            </w:pPr>
          </w:p>
        </w:tc>
        <w:tc>
          <w:tcPr>
            <w:tcW w:w="1067" w:type="dxa"/>
            <w:tcBorders>
              <w:top w:val="single" w:sz="4" w:space="0" w:color="auto"/>
              <w:left w:val="single" w:sz="4" w:space="0" w:color="auto"/>
              <w:bottom w:val="single" w:sz="4" w:space="0" w:color="auto"/>
              <w:right w:val="single" w:sz="4" w:space="0" w:color="auto"/>
            </w:tcBorders>
          </w:tcPr>
          <w:p w:rsidR="00E766FA" w:rsidRDefault="00E766FA">
            <w:pPr>
              <w:pStyle w:val="TAC"/>
            </w:pPr>
          </w:p>
        </w:tc>
        <w:tc>
          <w:tcPr>
            <w:tcW w:w="997" w:type="dxa"/>
            <w:tcBorders>
              <w:top w:val="single" w:sz="4" w:space="0" w:color="auto"/>
              <w:left w:val="single" w:sz="4" w:space="0" w:color="auto"/>
              <w:bottom w:val="single" w:sz="4" w:space="0" w:color="auto"/>
              <w:right w:val="single" w:sz="4" w:space="0" w:color="auto"/>
            </w:tcBorders>
          </w:tcPr>
          <w:p w:rsidR="00E766FA" w:rsidRDefault="00E766FA">
            <w:pPr>
              <w:pStyle w:val="TAC"/>
            </w:pPr>
          </w:p>
        </w:tc>
        <w:tc>
          <w:tcPr>
            <w:tcW w:w="1067" w:type="dxa"/>
            <w:tcBorders>
              <w:top w:val="single" w:sz="4" w:space="0" w:color="auto"/>
              <w:left w:val="single" w:sz="4" w:space="0" w:color="auto"/>
              <w:bottom w:val="single" w:sz="4" w:space="0" w:color="auto"/>
              <w:right w:val="single" w:sz="4" w:space="0" w:color="auto"/>
            </w:tcBorders>
          </w:tcPr>
          <w:p w:rsidR="00E766FA" w:rsidRDefault="00E766FA">
            <w:pPr>
              <w:pStyle w:val="TAC"/>
            </w:pPr>
          </w:p>
        </w:tc>
        <w:tc>
          <w:tcPr>
            <w:tcW w:w="911" w:type="dxa"/>
            <w:tcBorders>
              <w:top w:val="single" w:sz="4" w:space="0" w:color="auto"/>
              <w:left w:val="single" w:sz="4" w:space="0" w:color="auto"/>
              <w:bottom w:val="single" w:sz="4" w:space="0" w:color="auto"/>
              <w:right w:val="single" w:sz="4" w:space="0" w:color="auto"/>
            </w:tcBorders>
          </w:tcPr>
          <w:p w:rsidR="00E766FA" w:rsidRDefault="00E766FA">
            <w:pPr>
              <w:pStyle w:val="TAC"/>
            </w:pPr>
          </w:p>
        </w:tc>
        <w:tc>
          <w:tcPr>
            <w:tcW w:w="1249" w:type="dxa"/>
            <w:tcBorders>
              <w:top w:val="single" w:sz="4" w:space="0" w:color="auto"/>
              <w:left w:val="single" w:sz="4" w:space="0" w:color="auto"/>
              <w:bottom w:val="single" w:sz="4" w:space="0" w:color="auto"/>
              <w:right w:val="single" w:sz="4" w:space="0" w:color="auto"/>
            </w:tcBorders>
          </w:tcPr>
          <w:p w:rsidR="00E766FA" w:rsidRDefault="00E766FA">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E766FA" w:rsidRDefault="00E766FA">
            <w:pPr>
              <w:pStyle w:val="TAC"/>
            </w:pPr>
            <w:r>
              <w:t>20</w:t>
            </w:r>
          </w:p>
        </w:tc>
        <w:tc>
          <w:tcPr>
            <w:tcW w:w="1215" w:type="dxa"/>
            <w:tcBorders>
              <w:top w:val="single" w:sz="4" w:space="0" w:color="auto"/>
              <w:left w:val="single" w:sz="4" w:space="0" w:color="auto"/>
              <w:bottom w:val="single" w:sz="4" w:space="0" w:color="auto"/>
              <w:right w:val="single" w:sz="4" w:space="0" w:color="auto"/>
            </w:tcBorders>
            <w:hideMark/>
          </w:tcPr>
          <w:p w:rsidR="00E766FA" w:rsidRDefault="00E766FA">
            <w:pPr>
              <w:pStyle w:val="TAC"/>
            </w:pPr>
            <w:r>
              <w:rPr>
                <w:rFonts w:cs="Arial"/>
                <w:szCs w:val="18"/>
                <w:lang w:eastAsia="ja-JP"/>
              </w:rPr>
              <w:t>+2/-3</w:t>
            </w:r>
          </w:p>
        </w:tc>
      </w:tr>
      <w:tr w:rsidR="00E766FA" w:rsidTr="00E766FA">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rPr>
                <w:lang w:val="fi-FI" w:eastAsia="fi-FI"/>
              </w:rPr>
            </w:pPr>
            <w:r w:rsidRPr="00E766FA">
              <w:rPr>
                <w:highlight w:val="yellow"/>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rsidR="00E766FA" w:rsidRDefault="00E766FA">
            <w:pPr>
              <w:pStyle w:val="TAC"/>
            </w:pPr>
          </w:p>
        </w:tc>
        <w:tc>
          <w:tcPr>
            <w:tcW w:w="1067" w:type="dxa"/>
            <w:tcBorders>
              <w:top w:val="single" w:sz="4" w:space="0" w:color="auto"/>
              <w:left w:val="single" w:sz="4" w:space="0" w:color="auto"/>
              <w:bottom w:val="single" w:sz="4" w:space="0" w:color="auto"/>
              <w:right w:val="single" w:sz="4" w:space="0" w:color="auto"/>
            </w:tcBorders>
          </w:tcPr>
          <w:p w:rsidR="00E766FA" w:rsidRDefault="00E766FA">
            <w:pPr>
              <w:pStyle w:val="TAC"/>
            </w:pPr>
          </w:p>
        </w:tc>
        <w:tc>
          <w:tcPr>
            <w:tcW w:w="997" w:type="dxa"/>
            <w:tcBorders>
              <w:top w:val="single" w:sz="4" w:space="0" w:color="auto"/>
              <w:left w:val="single" w:sz="4" w:space="0" w:color="auto"/>
              <w:bottom w:val="single" w:sz="4" w:space="0" w:color="auto"/>
              <w:right w:val="single" w:sz="4" w:space="0" w:color="auto"/>
            </w:tcBorders>
          </w:tcPr>
          <w:p w:rsidR="00E766FA" w:rsidRDefault="00E766FA">
            <w:pPr>
              <w:pStyle w:val="TAC"/>
            </w:pPr>
          </w:p>
        </w:tc>
        <w:tc>
          <w:tcPr>
            <w:tcW w:w="1067" w:type="dxa"/>
            <w:tcBorders>
              <w:top w:val="single" w:sz="4" w:space="0" w:color="auto"/>
              <w:left w:val="single" w:sz="4" w:space="0" w:color="auto"/>
              <w:bottom w:val="single" w:sz="4" w:space="0" w:color="auto"/>
              <w:right w:val="single" w:sz="4" w:space="0" w:color="auto"/>
            </w:tcBorders>
          </w:tcPr>
          <w:p w:rsidR="00E766FA" w:rsidRDefault="00E766FA">
            <w:pPr>
              <w:pStyle w:val="TAC"/>
            </w:pPr>
          </w:p>
        </w:tc>
        <w:tc>
          <w:tcPr>
            <w:tcW w:w="911" w:type="dxa"/>
            <w:tcBorders>
              <w:top w:val="single" w:sz="4" w:space="0" w:color="auto"/>
              <w:left w:val="single" w:sz="4" w:space="0" w:color="auto"/>
              <w:bottom w:val="single" w:sz="4" w:space="0" w:color="auto"/>
              <w:right w:val="single" w:sz="4" w:space="0" w:color="auto"/>
            </w:tcBorders>
          </w:tcPr>
          <w:p w:rsidR="00E766FA" w:rsidRDefault="00E766FA">
            <w:pPr>
              <w:pStyle w:val="TAC"/>
            </w:pPr>
          </w:p>
        </w:tc>
        <w:tc>
          <w:tcPr>
            <w:tcW w:w="1249" w:type="dxa"/>
            <w:tcBorders>
              <w:top w:val="single" w:sz="4" w:space="0" w:color="auto"/>
              <w:left w:val="single" w:sz="4" w:space="0" w:color="auto"/>
              <w:bottom w:val="single" w:sz="4" w:space="0" w:color="auto"/>
              <w:right w:val="single" w:sz="4" w:space="0" w:color="auto"/>
            </w:tcBorders>
          </w:tcPr>
          <w:p w:rsidR="00E766FA" w:rsidRDefault="00E766FA">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E766FA" w:rsidRDefault="00E766FA">
            <w:pPr>
              <w:pStyle w:val="TAC"/>
            </w:pPr>
            <w:r>
              <w:t>20</w:t>
            </w:r>
          </w:p>
        </w:tc>
        <w:tc>
          <w:tcPr>
            <w:tcW w:w="1215" w:type="dxa"/>
            <w:tcBorders>
              <w:top w:val="single" w:sz="4" w:space="0" w:color="auto"/>
              <w:left w:val="single" w:sz="4" w:space="0" w:color="auto"/>
              <w:bottom w:val="single" w:sz="4" w:space="0" w:color="auto"/>
              <w:right w:val="single" w:sz="4" w:space="0" w:color="auto"/>
            </w:tcBorders>
            <w:hideMark/>
          </w:tcPr>
          <w:p w:rsidR="00E766FA" w:rsidRDefault="00E766FA">
            <w:pPr>
              <w:pStyle w:val="TAC"/>
              <w:rPr>
                <w:rFonts w:cs="Arial"/>
                <w:szCs w:val="18"/>
                <w:lang w:eastAsia="ja-JP"/>
              </w:rPr>
            </w:pPr>
            <w:r>
              <w:rPr>
                <w:rFonts w:cs="Arial"/>
                <w:szCs w:val="18"/>
                <w:lang w:eastAsia="ja-JP"/>
              </w:rPr>
              <w:t>+2/-3</w:t>
            </w:r>
          </w:p>
        </w:tc>
      </w:tr>
      <w:tr w:rsidR="00E766FA" w:rsidTr="00E766F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N"/>
              <w:rPr>
                <w:lang w:eastAsia="en-US"/>
              </w:rPr>
            </w:pPr>
            <w:r>
              <w:t>NOTE 1:</w:t>
            </w:r>
            <w:r>
              <w:tab/>
              <w:t>P</w:t>
            </w:r>
            <w:r>
              <w:rPr>
                <w:vertAlign w:val="subscript"/>
              </w:rPr>
              <w:t>PowerClass</w:t>
            </w:r>
            <w:r>
              <w:t xml:space="preserve"> is the maximum UE power specified without taking into account the tolerance</w:t>
            </w:r>
          </w:p>
          <w:p w:rsidR="00E766FA" w:rsidRDefault="00E766FA">
            <w:pPr>
              <w:pStyle w:val="TAN"/>
            </w:pPr>
            <w:r>
              <w:t>NOTE 2:</w:t>
            </w:r>
            <w:r>
              <w:tab/>
              <w:t>Power</w:t>
            </w:r>
            <w:r>
              <w:rPr>
                <w:vertAlign w:val="subscript"/>
              </w:rPr>
              <w:t xml:space="preserve"> </w:t>
            </w:r>
            <w:r>
              <w:t>class 5 is default power class unless otherwise stated.</w:t>
            </w:r>
          </w:p>
        </w:tc>
      </w:tr>
    </w:tbl>
    <w:p w:rsidR="00E766FA" w:rsidRDefault="00E766FA" w:rsidP="00E766FA">
      <w:pPr>
        <w:rPr>
          <w:lang w:eastAsia="zh-CN"/>
        </w:rPr>
      </w:pPr>
    </w:p>
    <w:p w:rsidR="00E766FA" w:rsidRDefault="00E766FA" w:rsidP="00E766FA">
      <w:pPr>
        <w:pStyle w:val="TH"/>
        <w:rPr>
          <w:lang w:eastAsia="en-US"/>
        </w:rPr>
      </w:pPr>
      <w:r>
        <w:t>Table 6.2F.1-2</w:t>
      </w:r>
      <w:r w:rsidR="00546F33">
        <w:t xml:space="preserve"> in 38.101-1</w:t>
      </w:r>
      <w:r>
        <w:t>: Additional requirements for transmit power density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3065"/>
        <w:gridCol w:w="2160"/>
      </w:tblGrid>
      <w:tr w:rsidR="00E766FA" w:rsidTr="00E766FA">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rsidR="00E766FA" w:rsidRDefault="00E766FA">
            <w:pPr>
              <w:pStyle w:val="TAH"/>
            </w:pPr>
            <w:r>
              <w:t>NR Band</w:t>
            </w:r>
          </w:p>
        </w:tc>
        <w:tc>
          <w:tcPr>
            <w:tcW w:w="1445" w:type="dxa"/>
            <w:tcBorders>
              <w:top w:val="single" w:sz="4" w:space="0" w:color="auto"/>
              <w:left w:val="single" w:sz="4" w:space="0" w:color="auto"/>
              <w:bottom w:val="single" w:sz="4" w:space="0" w:color="auto"/>
              <w:right w:val="single" w:sz="4" w:space="0" w:color="auto"/>
            </w:tcBorders>
            <w:hideMark/>
          </w:tcPr>
          <w:p w:rsidR="00E766FA" w:rsidRDefault="00E766FA">
            <w:pPr>
              <w:pStyle w:val="TAH"/>
            </w:pPr>
            <w:r>
              <w:t>NS value</w:t>
            </w:r>
          </w:p>
        </w:tc>
        <w:tc>
          <w:tcPr>
            <w:tcW w:w="1895" w:type="dxa"/>
            <w:tcBorders>
              <w:top w:val="single" w:sz="4" w:space="0" w:color="auto"/>
              <w:left w:val="single" w:sz="4" w:space="0" w:color="auto"/>
              <w:bottom w:val="single" w:sz="4" w:space="0" w:color="auto"/>
              <w:right w:val="single" w:sz="4" w:space="0" w:color="auto"/>
            </w:tcBorders>
            <w:hideMark/>
          </w:tcPr>
          <w:p w:rsidR="00E766FA" w:rsidRDefault="00E766FA">
            <w:pPr>
              <w:pStyle w:val="TAH"/>
            </w:pPr>
            <w:r>
              <w:t>Channel bandwidth (MHz)</w:t>
            </w:r>
          </w:p>
        </w:tc>
        <w:tc>
          <w:tcPr>
            <w:tcW w:w="3065" w:type="dxa"/>
            <w:tcBorders>
              <w:top w:val="single" w:sz="4" w:space="0" w:color="auto"/>
              <w:left w:val="single" w:sz="4" w:space="0" w:color="auto"/>
              <w:bottom w:val="single" w:sz="4" w:space="0" w:color="auto"/>
              <w:right w:val="single" w:sz="4" w:space="0" w:color="auto"/>
            </w:tcBorders>
            <w:hideMark/>
          </w:tcPr>
          <w:p w:rsidR="00E766FA" w:rsidRDefault="00E766FA">
            <w:pPr>
              <w:pStyle w:val="TAH"/>
            </w:pPr>
            <w:r>
              <w:t>Frequency range (MHz)</w:t>
            </w:r>
          </w:p>
        </w:tc>
        <w:tc>
          <w:tcPr>
            <w:tcW w:w="2160" w:type="dxa"/>
            <w:tcBorders>
              <w:top w:val="single" w:sz="4" w:space="0" w:color="auto"/>
              <w:left w:val="single" w:sz="4" w:space="0" w:color="auto"/>
              <w:bottom w:val="single" w:sz="4" w:space="0" w:color="auto"/>
              <w:right w:val="single" w:sz="4" w:space="0" w:color="auto"/>
            </w:tcBorders>
            <w:hideMark/>
          </w:tcPr>
          <w:p w:rsidR="00E766FA" w:rsidRDefault="00E766FA">
            <w:pPr>
              <w:pStyle w:val="TAH"/>
            </w:pPr>
            <w:r>
              <w:t>Maximum mean power density (dBm/MHz)</w:t>
            </w:r>
          </w:p>
        </w:tc>
      </w:tr>
      <w:tr w:rsidR="00E766FA" w:rsidTr="00E766FA">
        <w:trPr>
          <w:trHeight w:val="187"/>
          <w:jc w:val="center"/>
        </w:trPr>
        <w:tc>
          <w:tcPr>
            <w:tcW w:w="900" w:type="dxa"/>
            <w:tcBorders>
              <w:top w:val="single" w:sz="4" w:space="0" w:color="auto"/>
              <w:left w:val="single" w:sz="4" w:space="0" w:color="auto"/>
              <w:bottom w:val="nil"/>
              <w:right w:val="single" w:sz="4" w:space="0" w:color="auto"/>
            </w:tcBorders>
            <w:hideMark/>
          </w:tcPr>
          <w:p w:rsidR="00E766FA" w:rsidRDefault="00E766FA">
            <w:pPr>
              <w:pStyle w:val="TAC"/>
              <w:rPr>
                <w:rFonts w:cs="Arial"/>
              </w:rPr>
            </w:pPr>
            <w:r>
              <w:rPr>
                <w:rFonts w:cs="Arial"/>
              </w:rPr>
              <w:t>n46</w:t>
            </w:r>
          </w:p>
        </w:tc>
        <w:tc>
          <w:tcPr>
            <w:tcW w:w="1445" w:type="dxa"/>
            <w:tcBorders>
              <w:top w:val="single" w:sz="4" w:space="0" w:color="auto"/>
              <w:left w:val="single" w:sz="4" w:space="0" w:color="auto"/>
              <w:bottom w:val="nil"/>
              <w:right w:val="single" w:sz="4" w:space="0" w:color="auto"/>
            </w:tcBorders>
            <w:vAlign w:val="center"/>
            <w:hideMark/>
          </w:tcPr>
          <w:p w:rsidR="00E766FA" w:rsidRDefault="00E766FA">
            <w:pPr>
              <w:pStyle w:val="TAC"/>
              <w:rPr>
                <w:rFonts w:cs="Arial"/>
              </w:rPr>
            </w:pPr>
            <w:r>
              <w:rPr>
                <w:rFonts w:cs="Arial"/>
              </w:rPr>
              <w:t>NS_28</w:t>
            </w:r>
          </w:p>
        </w:tc>
        <w:tc>
          <w:tcPr>
            <w:tcW w:w="1895" w:type="dxa"/>
            <w:tcBorders>
              <w:top w:val="single" w:sz="4" w:space="0" w:color="auto"/>
              <w:left w:val="single" w:sz="4" w:space="0" w:color="auto"/>
              <w:bottom w:val="nil"/>
              <w:right w:val="single" w:sz="4" w:space="0" w:color="auto"/>
            </w:tcBorders>
            <w:vAlign w:val="center"/>
            <w:hideMark/>
          </w:tcPr>
          <w:p w:rsidR="00E766FA" w:rsidRDefault="00E766FA">
            <w:pPr>
              <w:pStyle w:val="TAC"/>
              <w:rPr>
                <w:rFonts w:cs="Arial"/>
              </w:rPr>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rPr>
                <w:rFonts w:cs="Arial"/>
              </w:rPr>
            </w:pPr>
            <w:r>
              <w:rPr>
                <w:rFonts w:cs="Arial"/>
              </w:rPr>
              <w:t>5150 – 5350</w:t>
            </w:r>
          </w:p>
        </w:tc>
        <w:tc>
          <w:tcPr>
            <w:tcW w:w="2160" w:type="dxa"/>
            <w:tcBorders>
              <w:top w:val="single" w:sz="4" w:space="0" w:color="auto"/>
              <w:left w:val="single" w:sz="4" w:space="0" w:color="auto"/>
              <w:bottom w:val="nil"/>
              <w:right w:val="single" w:sz="4" w:space="0" w:color="auto"/>
            </w:tcBorders>
            <w:vAlign w:val="center"/>
            <w:hideMark/>
          </w:tcPr>
          <w:p w:rsidR="00E766FA" w:rsidRDefault="00E766FA">
            <w:pPr>
              <w:pStyle w:val="TAC"/>
              <w:rPr>
                <w:rFonts w:cs="Arial"/>
              </w:rPr>
            </w:pPr>
            <w:r>
              <w:rPr>
                <w:rFonts w:cs="Arial"/>
                <w:lang w:eastAsia="zh-CN"/>
              </w:rPr>
              <w:t>10</w:t>
            </w: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rPr>
                <w:rFonts w:cs="Arial"/>
              </w:rPr>
            </w:pPr>
          </w:p>
        </w:tc>
        <w:tc>
          <w:tcPr>
            <w:tcW w:w="1445" w:type="dxa"/>
            <w:tcBorders>
              <w:top w:val="nil"/>
              <w:left w:val="single" w:sz="4" w:space="0" w:color="auto"/>
              <w:bottom w:val="single" w:sz="4" w:space="0" w:color="auto"/>
              <w:right w:val="single" w:sz="4" w:space="0" w:color="auto"/>
            </w:tcBorders>
            <w:vAlign w:val="center"/>
          </w:tcPr>
          <w:p w:rsidR="00E766FA" w:rsidRDefault="00E766FA">
            <w:pPr>
              <w:pStyle w:val="TAC"/>
              <w:rPr>
                <w:rFonts w:cs="Arial"/>
              </w:rPr>
            </w:pPr>
          </w:p>
        </w:tc>
        <w:tc>
          <w:tcPr>
            <w:tcW w:w="1895" w:type="dxa"/>
            <w:tcBorders>
              <w:top w:val="nil"/>
              <w:left w:val="single" w:sz="4" w:space="0" w:color="auto"/>
              <w:bottom w:val="single" w:sz="4" w:space="0" w:color="auto"/>
              <w:right w:val="single" w:sz="4" w:space="0" w:color="auto"/>
            </w:tcBorders>
            <w:vAlign w:val="center"/>
          </w:tcPr>
          <w:p w:rsidR="00E766FA" w:rsidRDefault="00E766FA">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rPr>
                <w:rFonts w:cs="Arial"/>
              </w:rPr>
            </w:pPr>
            <w:r>
              <w:rPr>
                <w:rFonts w:cs="Arial"/>
              </w:rPr>
              <w:t>5470 – 5725</w:t>
            </w:r>
          </w:p>
        </w:tc>
        <w:tc>
          <w:tcPr>
            <w:tcW w:w="2160" w:type="dxa"/>
            <w:tcBorders>
              <w:top w:val="nil"/>
              <w:left w:val="single" w:sz="4" w:space="0" w:color="auto"/>
              <w:bottom w:val="single" w:sz="4" w:space="0" w:color="auto"/>
              <w:right w:val="single" w:sz="4" w:space="0" w:color="auto"/>
            </w:tcBorders>
            <w:vAlign w:val="center"/>
          </w:tcPr>
          <w:p w:rsidR="00E766FA" w:rsidRDefault="00E766FA">
            <w:pPr>
              <w:pStyle w:val="TAC"/>
              <w:rPr>
                <w:rFonts w:cs="Arial"/>
                <w:lang w:eastAsia="zh-CN"/>
              </w:rPr>
            </w:pP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rPr>
                <w:rFonts w:cs="Arial"/>
              </w:rPr>
            </w:pPr>
          </w:p>
        </w:tc>
        <w:tc>
          <w:tcPr>
            <w:tcW w:w="1445" w:type="dxa"/>
            <w:tcBorders>
              <w:top w:val="single" w:sz="4" w:space="0" w:color="auto"/>
              <w:left w:val="single" w:sz="4" w:space="0" w:color="auto"/>
              <w:bottom w:val="nil"/>
              <w:right w:val="single" w:sz="4" w:space="0" w:color="auto"/>
            </w:tcBorders>
            <w:vAlign w:val="center"/>
            <w:hideMark/>
          </w:tcPr>
          <w:p w:rsidR="00E766FA" w:rsidRDefault="00E766FA">
            <w:pPr>
              <w:pStyle w:val="TAC"/>
              <w:rPr>
                <w:rFonts w:cs="Arial"/>
              </w:rPr>
            </w:pPr>
            <w:r>
              <w:rPr>
                <w:rFonts w:cs="Arial"/>
              </w:rPr>
              <w:t>NS_29</w:t>
            </w:r>
          </w:p>
        </w:tc>
        <w:tc>
          <w:tcPr>
            <w:tcW w:w="1895" w:type="dxa"/>
            <w:tcBorders>
              <w:top w:val="single" w:sz="4" w:space="0" w:color="auto"/>
              <w:left w:val="single" w:sz="4" w:space="0" w:color="auto"/>
              <w:bottom w:val="nil"/>
              <w:right w:val="single" w:sz="4" w:space="0" w:color="auto"/>
            </w:tcBorders>
            <w:vAlign w:val="center"/>
            <w:hideMark/>
          </w:tcPr>
          <w:p w:rsidR="00E766FA" w:rsidRDefault="00E766FA">
            <w:pPr>
              <w:pStyle w:val="TAC"/>
              <w:rPr>
                <w:rFonts w:cs="Arial"/>
              </w:rPr>
            </w:pPr>
            <w:r>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rPr>
                <w:rFonts w:cs="Arial"/>
              </w:rPr>
            </w:pPr>
            <w:r>
              <w:rPr>
                <w:rFonts w:cs="Arial"/>
              </w:rPr>
              <w:t>5170 – 5330</w:t>
            </w:r>
          </w:p>
        </w:tc>
        <w:tc>
          <w:tcPr>
            <w:tcW w:w="2160" w:type="dxa"/>
            <w:tcBorders>
              <w:top w:val="single" w:sz="4" w:space="0" w:color="auto"/>
              <w:left w:val="single" w:sz="4" w:space="0" w:color="auto"/>
              <w:bottom w:val="nil"/>
              <w:right w:val="single" w:sz="4" w:space="0" w:color="auto"/>
            </w:tcBorders>
            <w:vAlign w:val="center"/>
            <w:hideMark/>
          </w:tcPr>
          <w:p w:rsidR="00E766FA" w:rsidRDefault="00E766FA">
            <w:pPr>
              <w:pStyle w:val="TAC"/>
              <w:rPr>
                <w:rFonts w:cs="Arial"/>
                <w:lang w:eastAsia="zh-CN"/>
              </w:rPr>
            </w:pPr>
            <w:r>
              <w:rPr>
                <w:rFonts w:cs="Arial"/>
                <w:lang w:eastAsia="zh-CN"/>
              </w:rPr>
              <w:t>10</w:t>
            </w: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rPr>
                <w:rFonts w:cs="Arial"/>
              </w:rPr>
            </w:pPr>
          </w:p>
        </w:tc>
        <w:tc>
          <w:tcPr>
            <w:tcW w:w="1445" w:type="dxa"/>
            <w:tcBorders>
              <w:top w:val="nil"/>
              <w:left w:val="single" w:sz="4" w:space="0" w:color="auto"/>
              <w:bottom w:val="nil"/>
              <w:right w:val="single" w:sz="4" w:space="0" w:color="auto"/>
            </w:tcBorders>
            <w:vAlign w:val="center"/>
          </w:tcPr>
          <w:p w:rsidR="00E766FA" w:rsidRDefault="00E766FA">
            <w:pPr>
              <w:pStyle w:val="TAC"/>
              <w:rPr>
                <w:rFonts w:cs="Arial"/>
              </w:rPr>
            </w:pPr>
          </w:p>
        </w:tc>
        <w:tc>
          <w:tcPr>
            <w:tcW w:w="1895" w:type="dxa"/>
            <w:tcBorders>
              <w:top w:val="nil"/>
              <w:left w:val="single" w:sz="4" w:space="0" w:color="auto"/>
              <w:bottom w:val="single" w:sz="4" w:space="0" w:color="auto"/>
              <w:right w:val="single" w:sz="4" w:space="0" w:color="auto"/>
            </w:tcBorders>
            <w:vAlign w:val="center"/>
          </w:tcPr>
          <w:p w:rsidR="00E766FA" w:rsidRDefault="00E766FA">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rPr>
                <w:rFonts w:cs="Arial"/>
              </w:rPr>
            </w:pPr>
            <w:r>
              <w:rPr>
                <w:rFonts w:cs="Arial"/>
              </w:rPr>
              <w:t>5490 – 5730</w:t>
            </w:r>
          </w:p>
        </w:tc>
        <w:tc>
          <w:tcPr>
            <w:tcW w:w="2160" w:type="dxa"/>
            <w:tcBorders>
              <w:top w:val="nil"/>
              <w:left w:val="single" w:sz="4" w:space="0" w:color="auto"/>
              <w:bottom w:val="single" w:sz="4" w:space="0" w:color="auto"/>
              <w:right w:val="single" w:sz="4" w:space="0" w:color="auto"/>
            </w:tcBorders>
            <w:vAlign w:val="center"/>
          </w:tcPr>
          <w:p w:rsidR="00E766FA" w:rsidRDefault="00E766FA">
            <w:pPr>
              <w:pStyle w:val="TAC"/>
              <w:rPr>
                <w:rFonts w:cs="Arial"/>
                <w:lang w:eastAsia="zh-CN"/>
              </w:rPr>
            </w:pP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rPr>
                <w:rFonts w:cs="Arial"/>
              </w:rPr>
            </w:pPr>
          </w:p>
        </w:tc>
        <w:tc>
          <w:tcPr>
            <w:tcW w:w="1445" w:type="dxa"/>
            <w:tcBorders>
              <w:top w:val="nil"/>
              <w:left w:val="single" w:sz="4" w:space="0" w:color="auto"/>
              <w:bottom w:val="nil"/>
              <w:right w:val="single" w:sz="4" w:space="0" w:color="auto"/>
            </w:tcBorders>
            <w:vAlign w:val="center"/>
          </w:tcPr>
          <w:p w:rsidR="00E766FA" w:rsidRDefault="00E766FA">
            <w:pPr>
              <w:pStyle w:val="TAC"/>
              <w:rPr>
                <w:rFonts w:cs="Arial"/>
              </w:rPr>
            </w:pPr>
          </w:p>
        </w:tc>
        <w:tc>
          <w:tcPr>
            <w:tcW w:w="1895" w:type="dxa"/>
            <w:tcBorders>
              <w:top w:val="single" w:sz="4" w:space="0" w:color="auto"/>
              <w:left w:val="single" w:sz="4" w:space="0" w:color="auto"/>
              <w:bottom w:val="nil"/>
              <w:right w:val="single" w:sz="4" w:space="0" w:color="auto"/>
            </w:tcBorders>
            <w:vAlign w:val="center"/>
            <w:hideMark/>
          </w:tcPr>
          <w:p w:rsidR="00E766FA" w:rsidRDefault="00E766FA">
            <w:pPr>
              <w:pStyle w:val="TAC"/>
              <w:rPr>
                <w:rFonts w:cs="Arial"/>
              </w:rPr>
            </w:pPr>
            <w:r>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rPr>
                <w:rFonts w:cs="Arial"/>
              </w:rPr>
            </w:pPr>
            <w:r>
              <w:rPr>
                <w:rFonts w:cs="Arial"/>
              </w:rPr>
              <w:t>5170 – 5330</w:t>
            </w:r>
          </w:p>
        </w:tc>
        <w:tc>
          <w:tcPr>
            <w:tcW w:w="2160" w:type="dxa"/>
            <w:tcBorders>
              <w:top w:val="single" w:sz="4" w:space="0" w:color="auto"/>
              <w:left w:val="single" w:sz="4" w:space="0" w:color="auto"/>
              <w:bottom w:val="nil"/>
              <w:right w:val="single" w:sz="4" w:space="0" w:color="auto"/>
            </w:tcBorders>
            <w:vAlign w:val="center"/>
            <w:hideMark/>
          </w:tcPr>
          <w:p w:rsidR="00E766FA" w:rsidRDefault="00E766FA">
            <w:pPr>
              <w:pStyle w:val="TAC"/>
              <w:rPr>
                <w:rFonts w:cs="Arial"/>
                <w:lang w:eastAsia="zh-CN"/>
              </w:rPr>
            </w:pPr>
            <w:r>
              <w:rPr>
                <w:rFonts w:cs="Arial"/>
                <w:lang w:eastAsia="zh-CN"/>
              </w:rPr>
              <w:t>7</w:t>
            </w: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rPr>
                <w:rFonts w:cs="Arial"/>
              </w:rPr>
            </w:pPr>
          </w:p>
        </w:tc>
        <w:tc>
          <w:tcPr>
            <w:tcW w:w="1445" w:type="dxa"/>
            <w:tcBorders>
              <w:top w:val="nil"/>
              <w:left w:val="single" w:sz="4" w:space="0" w:color="auto"/>
              <w:bottom w:val="nil"/>
              <w:right w:val="single" w:sz="4" w:space="0" w:color="auto"/>
            </w:tcBorders>
            <w:vAlign w:val="center"/>
          </w:tcPr>
          <w:p w:rsidR="00E766FA" w:rsidRDefault="00E766FA">
            <w:pPr>
              <w:pStyle w:val="TAC"/>
              <w:rPr>
                <w:rFonts w:cs="Arial"/>
              </w:rPr>
            </w:pPr>
          </w:p>
        </w:tc>
        <w:tc>
          <w:tcPr>
            <w:tcW w:w="1895" w:type="dxa"/>
            <w:tcBorders>
              <w:top w:val="nil"/>
              <w:left w:val="single" w:sz="4" w:space="0" w:color="auto"/>
              <w:bottom w:val="single" w:sz="4" w:space="0" w:color="auto"/>
              <w:right w:val="single" w:sz="4" w:space="0" w:color="auto"/>
            </w:tcBorders>
            <w:vAlign w:val="center"/>
          </w:tcPr>
          <w:p w:rsidR="00E766FA" w:rsidRDefault="00E766FA">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rPr>
                <w:rFonts w:cs="Arial"/>
              </w:rPr>
            </w:pPr>
            <w:r>
              <w:rPr>
                <w:rFonts w:cs="Arial"/>
              </w:rPr>
              <w:t>5490 – 5730</w:t>
            </w:r>
          </w:p>
        </w:tc>
        <w:tc>
          <w:tcPr>
            <w:tcW w:w="2160" w:type="dxa"/>
            <w:tcBorders>
              <w:top w:val="nil"/>
              <w:left w:val="single" w:sz="4" w:space="0" w:color="auto"/>
              <w:bottom w:val="single" w:sz="4" w:space="0" w:color="auto"/>
              <w:right w:val="single" w:sz="4" w:space="0" w:color="auto"/>
            </w:tcBorders>
            <w:vAlign w:val="center"/>
          </w:tcPr>
          <w:p w:rsidR="00E766FA" w:rsidRDefault="00E766FA">
            <w:pPr>
              <w:pStyle w:val="TAC"/>
              <w:rPr>
                <w:rFonts w:cs="Arial"/>
                <w:lang w:eastAsia="zh-CN"/>
              </w:rPr>
            </w:pP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rPr>
                <w:rFonts w:cs="Arial"/>
              </w:rPr>
            </w:pPr>
          </w:p>
        </w:tc>
        <w:tc>
          <w:tcPr>
            <w:tcW w:w="1445" w:type="dxa"/>
            <w:tcBorders>
              <w:top w:val="nil"/>
              <w:left w:val="single" w:sz="4" w:space="0" w:color="auto"/>
              <w:bottom w:val="nil"/>
              <w:right w:val="single" w:sz="4" w:space="0" w:color="auto"/>
            </w:tcBorders>
            <w:vAlign w:val="center"/>
          </w:tcPr>
          <w:p w:rsidR="00E766FA" w:rsidRDefault="00E766FA">
            <w:pPr>
              <w:pStyle w:val="TAC"/>
              <w:rPr>
                <w:rFonts w:cs="Arial"/>
              </w:rPr>
            </w:pPr>
          </w:p>
        </w:tc>
        <w:tc>
          <w:tcPr>
            <w:tcW w:w="1895" w:type="dxa"/>
            <w:tcBorders>
              <w:top w:val="single" w:sz="4" w:space="0" w:color="auto"/>
              <w:left w:val="single" w:sz="4" w:space="0" w:color="auto"/>
              <w:bottom w:val="nil"/>
              <w:right w:val="single" w:sz="4" w:space="0" w:color="auto"/>
            </w:tcBorders>
            <w:vAlign w:val="center"/>
            <w:hideMark/>
          </w:tcPr>
          <w:p w:rsidR="00E766FA" w:rsidRDefault="00E766FA">
            <w:pPr>
              <w:pStyle w:val="TAC"/>
              <w:rPr>
                <w:rFonts w:cs="Arial"/>
              </w:rPr>
            </w:pPr>
            <w:r>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rPr>
                <w:rFonts w:cs="Arial"/>
              </w:rPr>
            </w:pPr>
            <w:r>
              <w:rPr>
                <w:rFonts w:cs="Arial"/>
              </w:rPr>
              <w:t>5170 – 5330</w:t>
            </w:r>
          </w:p>
        </w:tc>
        <w:tc>
          <w:tcPr>
            <w:tcW w:w="2160" w:type="dxa"/>
            <w:tcBorders>
              <w:top w:val="single" w:sz="4" w:space="0" w:color="auto"/>
              <w:left w:val="single" w:sz="4" w:space="0" w:color="auto"/>
              <w:bottom w:val="nil"/>
              <w:right w:val="single" w:sz="4" w:space="0" w:color="auto"/>
            </w:tcBorders>
            <w:vAlign w:val="center"/>
            <w:hideMark/>
          </w:tcPr>
          <w:p w:rsidR="00E766FA" w:rsidRDefault="00E766FA">
            <w:pPr>
              <w:pStyle w:val="TAC"/>
              <w:rPr>
                <w:rFonts w:cs="Arial"/>
                <w:lang w:eastAsia="zh-CN"/>
              </w:rPr>
            </w:pPr>
            <w:r>
              <w:rPr>
                <w:rFonts w:cs="Arial"/>
                <w:lang w:eastAsia="zh-CN"/>
              </w:rPr>
              <w:t>4</w:t>
            </w: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rPr>
                <w:rFonts w:cs="Arial"/>
              </w:rPr>
            </w:pPr>
          </w:p>
        </w:tc>
        <w:tc>
          <w:tcPr>
            <w:tcW w:w="1445" w:type="dxa"/>
            <w:tcBorders>
              <w:top w:val="nil"/>
              <w:left w:val="single" w:sz="4" w:space="0" w:color="auto"/>
              <w:bottom w:val="single" w:sz="4" w:space="0" w:color="auto"/>
              <w:right w:val="single" w:sz="4" w:space="0" w:color="auto"/>
            </w:tcBorders>
            <w:vAlign w:val="center"/>
          </w:tcPr>
          <w:p w:rsidR="00E766FA" w:rsidRDefault="00E766FA">
            <w:pPr>
              <w:pStyle w:val="TAC"/>
              <w:rPr>
                <w:rFonts w:cs="Arial"/>
              </w:rPr>
            </w:pPr>
          </w:p>
        </w:tc>
        <w:tc>
          <w:tcPr>
            <w:tcW w:w="1895" w:type="dxa"/>
            <w:tcBorders>
              <w:top w:val="nil"/>
              <w:left w:val="single" w:sz="4" w:space="0" w:color="auto"/>
              <w:bottom w:val="single" w:sz="4" w:space="0" w:color="auto"/>
              <w:right w:val="single" w:sz="4" w:space="0" w:color="auto"/>
            </w:tcBorders>
            <w:vAlign w:val="center"/>
          </w:tcPr>
          <w:p w:rsidR="00E766FA" w:rsidRDefault="00E766FA">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rPr>
                <w:rFonts w:cs="Arial"/>
              </w:rPr>
            </w:pPr>
            <w:r>
              <w:rPr>
                <w:rFonts w:cs="Arial"/>
              </w:rPr>
              <w:t>5490 – 5730</w:t>
            </w:r>
          </w:p>
        </w:tc>
        <w:tc>
          <w:tcPr>
            <w:tcW w:w="2160" w:type="dxa"/>
            <w:tcBorders>
              <w:top w:val="nil"/>
              <w:left w:val="single" w:sz="4" w:space="0" w:color="auto"/>
              <w:bottom w:val="single" w:sz="4" w:space="0" w:color="auto"/>
              <w:right w:val="single" w:sz="4" w:space="0" w:color="auto"/>
            </w:tcBorders>
            <w:vAlign w:val="center"/>
          </w:tcPr>
          <w:p w:rsidR="00E766FA" w:rsidRDefault="00E766FA">
            <w:pPr>
              <w:pStyle w:val="TAC"/>
              <w:rPr>
                <w:rFonts w:cs="Arial"/>
                <w:lang w:eastAsia="zh-CN"/>
              </w:rPr>
            </w:pP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single" w:sz="4" w:space="0" w:color="auto"/>
              <w:left w:val="single" w:sz="4" w:space="0" w:color="auto"/>
              <w:bottom w:val="nil"/>
              <w:right w:val="single" w:sz="4" w:space="0" w:color="auto"/>
            </w:tcBorders>
            <w:vAlign w:val="center"/>
            <w:hideMark/>
          </w:tcPr>
          <w:p w:rsidR="00E766FA" w:rsidRDefault="00E766FA">
            <w:pPr>
              <w:pStyle w:val="TAC"/>
            </w:pPr>
            <w:r>
              <w:t>NS_30</w:t>
            </w:r>
          </w:p>
        </w:tc>
        <w:tc>
          <w:tcPr>
            <w:tcW w:w="1895" w:type="dxa"/>
            <w:tcBorders>
              <w:top w:val="single" w:sz="4" w:space="0" w:color="auto"/>
              <w:left w:val="single" w:sz="4" w:space="0" w:color="auto"/>
              <w:bottom w:val="nil"/>
              <w:right w:val="single" w:sz="4" w:space="0" w:color="auto"/>
            </w:tcBorders>
            <w:vAlign w:val="center"/>
            <w:hideMark/>
          </w:tcPr>
          <w:p w:rsidR="00E766FA" w:rsidRDefault="00E766FA">
            <w:pPr>
              <w:pStyle w:val="TAC"/>
              <w:rPr>
                <w:rFonts w:cs="Arial"/>
              </w:rPr>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rPr>
                <w:rFonts w:cs="Arial"/>
              </w:rPr>
              <w:t>5150 – 5350</w:t>
            </w:r>
          </w:p>
        </w:tc>
        <w:tc>
          <w:tcPr>
            <w:tcW w:w="2160" w:type="dxa"/>
            <w:tcBorders>
              <w:top w:val="single" w:sz="4" w:space="0" w:color="auto"/>
              <w:left w:val="single" w:sz="4" w:space="0" w:color="auto"/>
              <w:bottom w:val="nil"/>
              <w:right w:val="single" w:sz="4" w:space="0" w:color="auto"/>
            </w:tcBorders>
            <w:vAlign w:val="center"/>
            <w:hideMark/>
          </w:tcPr>
          <w:p w:rsidR="00E766FA" w:rsidRDefault="00E766FA">
            <w:pPr>
              <w:pStyle w:val="TAC"/>
              <w:rPr>
                <w:rFonts w:cs="Arial"/>
              </w:rPr>
            </w:pPr>
            <w:r>
              <w:t>11</w:t>
            </w: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single" w:sz="4" w:space="0" w:color="auto"/>
              <w:right w:val="single" w:sz="4" w:space="0" w:color="auto"/>
            </w:tcBorders>
            <w:vAlign w:val="center"/>
          </w:tcPr>
          <w:p w:rsidR="00E766FA" w:rsidRDefault="00E766FA">
            <w:pPr>
              <w:pStyle w:val="TAC"/>
            </w:pPr>
          </w:p>
        </w:tc>
        <w:tc>
          <w:tcPr>
            <w:tcW w:w="1895" w:type="dxa"/>
            <w:tcBorders>
              <w:top w:val="nil"/>
              <w:left w:val="single" w:sz="4" w:space="0" w:color="auto"/>
              <w:bottom w:val="single" w:sz="4" w:space="0" w:color="auto"/>
              <w:right w:val="single" w:sz="4" w:space="0" w:color="auto"/>
            </w:tcBorders>
            <w:vAlign w:val="center"/>
          </w:tcPr>
          <w:p w:rsidR="00E766FA" w:rsidRDefault="00E766FA">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rPr>
                <w:rFonts w:cs="Arial"/>
              </w:rPr>
              <w:t>5470 – 5725</w:t>
            </w:r>
          </w:p>
        </w:tc>
        <w:tc>
          <w:tcPr>
            <w:tcW w:w="2160" w:type="dxa"/>
            <w:tcBorders>
              <w:top w:val="nil"/>
              <w:left w:val="single" w:sz="4" w:space="0" w:color="auto"/>
              <w:bottom w:val="single" w:sz="4" w:space="0" w:color="auto"/>
              <w:right w:val="single" w:sz="4" w:space="0" w:color="auto"/>
            </w:tcBorders>
            <w:vAlign w:val="center"/>
          </w:tcPr>
          <w:p w:rsidR="00E766FA" w:rsidRDefault="00E766FA">
            <w:pPr>
              <w:pStyle w:val="TAC"/>
            </w:pP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single" w:sz="4" w:space="0" w:color="auto"/>
              <w:left w:val="single" w:sz="4" w:space="0" w:color="auto"/>
              <w:bottom w:val="nil"/>
              <w:right w:val="single" w:sz="4" w:space="0" w:color="auto"/>
            </w:tcBorders>
            <w:vAlign w:val="center"/>
            <w:hideMark/>
          </w:tcPr>
          <w:p w:rsidR="00E766FA" w:rsidRDefault="00E766FA">
            <w:pPr>
              <w:pStyle w:val="TAC"/>
            </w:pPr>
            <w:r>
              <w:t>NS_31</w:t>
            </w:r>
          </w:p>
        </w:tc>
        <w:tc>
          <w:tcPr>
            <w:tcW w:w="1895" w:type="dxa"/>
            <w:tcBorders>
              <w:top w:val="single" w:sz="4" w:space="0" w:color="auto"/>
              <w:left w:val="single" w:sz="4" w:space="0" w:color="auto"/>
              <w:bottom w:val="nil"/>
              <w:right w:val="single" w:sz="4" w:space="0" w:color="auto"/>
            </w:tcBorders>
            <w:vAlign w:val="center"/>
            <w:hideMark/>
          </w:tcPr>
          <w:p w:rsidR="00E766FA" w:rsidRDefault="00E766FA">
            <w:pPr>
              <w:pStyle w:val="TAC"/>
            </w:pPr>
            <w:r>
              <w:t>20</w:t>
            </w: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5150 - 5230</w:t>
            </w:r>
          </w:p>
        </w:tc>
        <w:tc>
          <w:tcPr>
            <w:tcW w:w="2160" w:type="dxa"/>
            <w:tcBorders>
              <w:top w:val="single" w:sz="4" w:space="0" w:color="auto"/>
              <w:left w:val="single" w:sz="4" w:space="0" w:color="auto"/>
              <w:bottom w:val="nil"/>
              <w:right w:val="single" w:sz="4" w:space="0" w:color="auto"/>
            </w:tcBorders>
            <w:vAlign w:val="center"/>
            <w:hideMark/>
          </w:tcPr>
          <w:p w:rsidR="00E766FA" w:rsidRDefault="00E766FA">
            <w:pPr>
              <w:pStyle w:val="TAC"/>
              <w:rPr>
                <w:rFonts w:cs="Arial"/>
              </w:rPr>
            </w:pPr>
            <w:r>
              <w:t>10</w:t>
            </w: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nil"/>
              <w:right w:val="single" w:sz="4" w:space="0" w:color="auto"/>
            </w:tcBorders>
            <w:vAlign w:val="center"/>
          </w:tcPr>
          <w:p w:rsidR="00E766FA" w:rsidRDefault="00E766FA">
            <w:pPr>
              <w:pStyle w:val="TAC"/>
            </w:pPr>
          </w:p>
        </w:tc>
        <w:tc>
          <w:tcPr>
            <w:tcW w:w="1895" w:type="dxa"/>
            <w:tcBorders>
              <w:top w:val="nil"/>
              <w:left w:val="single" w:sz="4" w:space="0" w:color="auto"/>
              <w:bottom w:val="nil"/>
              <w:right w:val="single" w:sz="4" w:space="0" w:color="auto"/>
            </w:tcBorders>
            <w:vAlign w:val="center"/>
          </w:tcPr>
          <w:p w:rsidR="00E766FA" w:rsidRDefault="00E766FA">
            <w:pPr>
              <w:pStyle w:val="TAC"/>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5250 – 5350</w:t>
            </w:r>
          </w:p>
        </w:tc>
        <w:tc>
          <w:tcPr>
            <w:tcW w:w="2160" w:type="dxa"/>
            <w:tcBorders>
              <w:top w:val="nil"/>
              <w:left w:val="single" w:sz="4" w:space="0" w:color="auto"/>
              <w:bottom w:val="nil"/>
              <w:right w:val="single" w:sz="4" w:space="0" w:color="auto"/>
            </w:tcBorders>
            <w:vAlign w:val="center"/>
          </w:tcPr>
          <w:p w:rsidR="00E766FA" w:rsidRDefault="00E766FA">
            <w:pPr>
              <w:pStyle w:val="TAC"/>
            </w:pP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nil"/>
              <w:right w:val="single" w:sz="4" w:space="0" w:color="auto"/>
            </w:tcBorders>
            <w:vAlign w:val="center"/>
          </w:tcPr>
          <w:p w:rsidR="00E766FA" w:rsidRDefault="00E766FA">
            <w:pPr>
              <w:pStyle w:val="TAC"/>
            </w:pPr>
          </w:p>
        </w:tc>
        <w:tc>
          <w:tcPr>
            <w:tcW w:w="1895" w:type="dxa"/>
            <w:tcBorders>
              <w:top w:val="nil"/>
              <w:left w:val="single" w:sz="4" w:space="0" w:color="auto"/>
              <w:bottom w:val="nil"/>
              <w:right w:val="single" w:sz="4" w:space="0" w:color="auto"/>
            </w:tcBorders>
            <w:vAlign w:val="center"/>
          </w:tcPr>
          <w:p w:rsidR="00E766FA" w:rsidRDefault="00E766FA">
            <w:pPr>
              <w:pStyle w:val="TAC"/>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5470 – 5725</w:t>
            </w:r>
          </w:p>
        </w:tc>
        <w:tc>
          <w:tcPr>
            <w:tcW w:w="2160" w:type="dxa"/>
            <w:tcBorders>
              <w:top w:val="nil"/>
              <w:left w:val="single" w:sz="4" w:space="0" w:color="auto"/>
              <w:bottom w:val="nil"/>
              <w:right w:val="single" w:sz="4" w:space="0" w:color="auto"/>
            </w:tcBorders>
            <w:vAlign w:val="center"/>
          </w:tcPr>
          <w:p w:rsidR="00E766FA" w:rsidRDefault="00E766FA">
            <w:pPr>
              <w:pStyle w:val="TAC"/>
            </w:pP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nil"/>
              <w:right w:val="single" w:sz="4" w:space="0" w:color="auto"/>
            </w:tcBorders>
            <w:vAlign w:val="center"/>
          </w:tcPr>
          <w:p w:rsidR="00E766FA" w:rsidRDefault="00E766FA">
            <w:pPr>
              <w:pStyle w:val="TAC"/>
            </w:pPr>
          </w:p>
        </w:tc>
        <w:tc>
          <w:tcPr>
            <w:tcW w:w="1895" w:type="dxa"/>
            <w:tcBorders>
              <w:top w:val="nil"/>
              <w:left w:val="single" w:sz="4" w:space="0" w:color="auto"/>
              <w:bottom w:val="nil"/>
              <w:right w:val="single" w:sz="4" w:space="0" w:color="auto"/>
            </w:tcBorders>
            <w:vAlign w:val="center"/>
          </w:tcPr>
          <w:p w:rsidR="00E766FA" w:rsidRDefault="00E766FA">
            <w:pPr>
              <w:pStyle w:val="TAC"/>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5725 - 5850</w:t>
            </w:r>
          </w:p>
        </w:tc>
        <w:tc>
          <w:tcPr>
            <w:tcW w:w="2160" w:type="dxa"/>
            <w:tcBorders>
              <w:top w:val="nil"/>
              <w:left w:val="single" w:sz="4" w:space="0" w:color="auto"/>
              <w:bottom w:val="single" w:sz="4" w:space="0" w:color="auto"/>
              <w:right w:val="single" w:sz="4" w:space="0" w:color="auto"/>
            </w:tcBorders>
            <w:vAlign w:val="center"/>
          </w:tcPr>
          <w:p w:rsidR="00E766FA" w:rsidRDefault="00E766FA">
            <w:pPr>
              <w:pStyle w:val="TAC"/>
            </w:pP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nil"/>
              <w:right w:val="single" w:sz="4" w:space="0" w:color="auto"/>
            </w:tcBorders>
            <w:vAlign w:val="center"/>
          </w:tcPr>
          <w:p w:rsidR="00E766FA" w:rsidRDefault="00E766FA">
            <w:pPr>
              <w:pStyle w:val="TAC"/>
            </w:pPr>
          </w:p>
        </w:tc>
        <w:tc>
          <w:tcPr>
            <w:tcW w:w="1895" w:type="dxa"/>
            <w:tcBorders>
              <w:top w:val="nil"/>
              <w:left w:val="single" w:sz="4" w:space="0" w:color="auto"/>
              <w:bottom w:val="single" w:sz="4" w:space="0" w:color="auto"/>
              <w:right w:val="single" w:sz="4" w:space="0" w:color="auto"/>
            </w:tcBorders>
            <w:vAlign w:val="center"/>
          </w:tcPr>
          <w:p w:rsidR="00E766FA" w:rsidRDefault="00E766FA">
            <w:pPr>
              <w:pStyle w:val="TAC"/>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5230 – 5250</w:t>
            </w:r>
          </w:p>
        </w:tc>
        <w:tc>
          <w:tcPr>
            <w:tcW w:w="2160"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4</w:t>
            </w: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nil"/>
              <w:right w:val="single" w:sz="4" w:space="0" w:color="auto"/>
            </w:tcBorders>
            <w:vAlign w:val="center"/>
          </w:tcPr>
          <w:p w:rsidR="00E766FA" w:rsidRDefault="00E766FA">
            <w:pPr>
              <w:pStyle w:val="TAC"/>
            </w:pPr>
          </w:p>
        </w:tc>
        <w:tc>
          <w:tcPr>
            <w:tcW w:w="1895" w:type="dxa"/>
            <w:tcBorders>
              <w:top w:val="single" w:sz="4" w:space="0" w:color="auto"/>
              <w:left w:val="single" w:sz="4" w:space="0" w:color="auto"/>
              <w:bottom w:val="nil"/>
              <w:right w:val="single" w:sz="4" w:space="0" w:color="auto"/>
            </w:tcBorders>
            <w:vAlign w:val="center"/>
            <w:hideMark/>
          </w:tcPr>
          <w:p w:rsidR="00E766FA" w:rsidRDefault="00E766FA">
            <w:pPr>
              <w:pStyle w:val="TAC"/>
            </w:pPr>
            <w:r>
              <w:t>40</w:t>
            </w: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5150 - 5230</w:t>
            </w:r>
          </w:p>
        </w:tc>
        <w:tc>
          <w:tcPr>
            <w:tcW w:w="2160" w:type="dxa"/>
            <w:tcBorders>
              <w:top w:val="single" w:sz="4" w:space="0" w:color="auto"/>
              <w:left w:val="single" w:sz="4" w:space="0" w:color="auto"/>
              <w:bottom w:val="nil"/>
              <w:right w:val="single" w:sz="4" w:space="0" w:color="auto"/>
            </w:tcBorders>
            <w:vAlign w:val="center"/>
            <w:hideMark/>
          </w:tcPr>
          <w:p w:rsidR="00E766FA" w:rsidRDefault="00E766FA">
            <w:pPr>
              <w:pStyle w:val="TAC"/>
            </w:pPr>
            <w:r>
              <w:t>7</w:t>
            </w: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nil"/>
              <w:right w:val="single" w:sz="4" w:space="0" w:color="auto"/>
            </w:tcBorders>
            <w:vAlign w:val="center"/>
          </w:tcPr>
          <w:p w:rsidR="00E766FA" w:rsidRDefault="00E766FA">
            <w:pPr>
              <w:pStyle w:val="TAC"/>
            </w:pPr>
          </w:p>
        </w:tc>
        <w:tc>
          <w:tcPr>
            <w:tcW w:w="1895" w:type="dxa"/>
            <w:tcBorders>
              <w:top w:val="nil"/>
              <w:left w:val="single" w:sz="4" w:space="0" w:color="auto"/>
              <w:bottom w:val="nil"/>
              <w:right w:val="single" w:sz="4" w:space="0" w:color="auto"/>
            </w:tcBorders>
            <w:vAlign w:val="center"/>
          </w:tcPr>
          <w:p w:rsidR="00E766FA" w:rsidRDefault="00E766FA">
            <w:pPr>
              <w:pStyle w:val="TAC"/>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5250 – 5350</w:t>
            </w:r>
          </w:p>
        </w:tc>
        <w:tc>
          <w:tcPr>
            <w:tcW w:w="2160" w:type="dxa"/>
            <w:tcBorders>
              <w:top w:val="nil"/>
              <w:left w:val="single" w:sz="4" w:space="0" w:color="auto"/>
              <w:bottom w:val="nil"/>
              <w:right w:val="single" w:sz="4" w:space="0" w:color="auto"/>
            </w:tcBorders>
            <w:vAlign w:val="center"/>
          </w:tcPr>
          <w:p w:rsidR="00E766FA" w:rsidRDefault="00E766FA">
            <w:pPr>
              <w:pStyle w:val="TAC"/>
            </w:pP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nil"/>
              <w:right w:val="single" w:sz="4" w:space="0" w:color="auto"/>
            </w:tcBorders>
            <w:vAlign w:val="center"/>
          </w:tcPr>
          <w:p w:rsidR="00E766FA" w:rsidRDefault="00E766FA">
            <w:pPr>
              <w:pStyle w:val="TAC"/>
            </w:pPr>
          </w:p>
        </w:tc>
        <w:tc>
          <w:tcPr>
            <w:tcW w:w="1895" w:type="dxa"/>
            <w:tcBorders>
              <w:top w:val="nil"/>
              <w:left w:val="single" w:sz="4" w:space="0" w:color="auto"/>
              <w:bottom w:val="nil"/>
              <w:right w:val="single" w:sz="4" w:space="0" w:color="auto"/>
            </w:tcBorders>
            <w:vAlign w:val="center"/>
          </w:tcPr>
          <w:p w:rsidR="00E766FA" w:rsidRDefault="00E766FA">
            <w:pPr>
              <w:pStyle w:val="TAC"/>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5470 – 5725</w:t>
            </w:r>
          </w:p>
        </w:tc>
        <w:tc>
          <w:tcPr>
            <w:tcW w:w="2160" w:type="dxa"/>
            <w:tcBorders>
              <w:top w:val="nil"/>
              <w:left w:val="single" w:sz="4" w:space="0" w:color="auto"/>
              <w:bottom w:val="nil"/>
              <w:right w:val="single" w:sz="4" w:space="0" w:color="auto"/>
            </w:tcBorders>
            <w:vAlign w:val="center"/>
          </w:tcPr>
          <w:p w:rsidR="00E766FA" w:rsidRDefault="00E766FA">
            <w:pPr>
              <w:pStyle w:val="TAC"/>
            </w:pP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nil"/>
              <w:right w:val="single" w:sz="4" w:space="0" w:color="auto"/>
            </w:tcBorders>
            <w:vAlign w:val="center"/>
          </w:tcPr>
          <w:p w:rsidR="00E766FA" w:rsidRDefault="00E766FA">
            <w:pPr>
              <w:pStyle w:val="TAC"/>
            </w:pPr>
          </w:p>
        </w:tc>
        <w:tc>
          <w:tcPr>
            <w:tcW w:w="1895" w:type="dxa"/>
            <w:tcBorders>
              <w:top w:val="nil"/>
              <w:left w:val="single" w:sz="4" w:space="0" w:color="auto"/>
              <w:bottom w:val="nil"/>
              <w:right w:val="single" w:sz="4" w:space="0" w:color="auto"/>
            </w:tcBorders>
            <w:vAlign w:val="center"/>
          </w:tcPr>
          <w:p w:rsidR="00E766FA" w:rsidRDefault="00E766FA">
            <w:pPr>
              <w:pStyle w:val="TAC"/>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5725 - 5850</w:t>
            </w:r>
          </w:p>
        </w:tc>
        <w:tc>
          <w:tcPr>
            <w:tcW w:w="2160" w:type="dxa"/>
            <w:tcBorders>
              <w:top w:val="nil"/>
              <w:left w:val="single" w:sz="4" w:space="0" w:color="auto"/>
              <w:bottom w:val="single" w:sz="4" w:space="0" w:color="auto"/>
              <w:right w:val="single" w:sz="4" w:space="0" w:color="auto"/>
            </w:tcBorders>
            <w:vAlign w:val="center"/>
          </w:tcPr>
          <w:p w:rsidR="00E766FA" w:rsidRDefault="00E766FA">
            <w:pPr>
              <w:pStyle w:val="TAC"/>
            </w:pP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nil"/>
              <w:right w:val="single" w:sz="4" w:space="0" w:color="auto"/>
            </w:tcBorders>
            <w:vAlign w:val="center"/>
          </w:tcPr>
          <w:p w:rsidR="00E766FA" w:rsidRDefault="00E766FA">
            <w:pPr>
              <w:pStyle w:val="TAC"/>
            </w:pPr>
          </w:p>
        </w:tc>
        <w:tc>
          <w:tcPr>
            <w:tcW w:w="1895" w:type="dxa"/>
            <w:tcBorders>
              <w:top w:val="nil"/>
              <w:left w:val="single" w:sz="4" w:space="0" w:color="auto"/>
              <w:bottom w:val="single" w:sz="4" w:space="0" w:color="auto"/>
              <w:right w:val="single" w:sz="4" w:space="0" w:color="auto"/>
            </w:tcBorders>
            <w:vAlign w:val="center"/>
          </w:tcPr>
          <w:p w:rsidR="00E766FA" w:rsidRDefault="00E766FA">
            <w:pPr>
              <w:pStyle w:val="TAC"/>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5230 – 5250</w:t>
            </w:r>
          </w:p>
        </w:tc>
        <w:tc>
          <w:tcPr>
            <w:tcW w:w="2160"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4</w:t>
            </w: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nil"/>
              <w:right w:val="single" w:sz="4" w:space="0" w:color="auto"/>
            </w:tcBorders>
            <w:vAlign w:val="center"/>
          </w:tcPr>
          <w:p w:rsidR="00E766FA" w:rsidRDefault="00E766FA">
            <w:pPr>
              <w:pStyle w:val="TAC"/>
            </w:pPr>
          </w:p>
        </w:tc>
        <w:tc>
          <w:tcPr>
            <w:tcW w:w="1895" w:type="dxa"/>
            <w:tcBorders>
              <w:top w:val="single" w:sz="4" w:space="0" w:color="auto"/>
              <w:left w:val="single" w:sz="4" w:space="0" w:color="auto"/>
              <w:bottom w:val="nil"/>
              <w:right w:val="single" w:sz="4" w:space="0" w:color="auto"/>
            </w:tcBorders>
            <w:vAlign w:val="center"/>
            <w:hideMark/>
          </w:tcPr>
          <w:p w:rsidR="00E766FA" w:rsidRDefault="00E766FA">
            <w:pPr>
              <w:pStyle w:val="TAC"/>
            </w:pPr>
            <w:r>
              <w:t>60, 80</w:t>
            </w: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5150 - 5230</w:t>
            </w:r>
          </w:p>
        </w:tc>
        <w:tc>
          <w:tcPr>
            <w:tcW w:w="2160" w:type="dxa"/>
            <w:tcBorders>
              <w:top w:val="single" w:sz="4" w:space="0" w:color="auto"/>
              <w:left w:val="single" w:sz="4" w:space="0" w:color="auto"/>
              <w:bottom w:val="nil"/>
              <w:right w:val="single" w:sz="4" w:space="0" w:color="auto"/>
            </w:tcBorders>
            <w:vAlign w:val="center"/>
            <w:hideMark/>
          </w:tcPr>
          <w:p w:rsidR="00E766FA" w:rsidRDefault="00E766FA">
            <w:pPr>
              <w:pStyle w:val="TAC"/>
            </w:pPr>
            <w:r>
              <w:t>4</w:t>
            </w: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nil"/>
              <w:right w:val="single" w:sz="4" w:space="0" w:color="auto"/>
            </w:tcBorders>
            <w:vAlign w:val="center"/>
          </w:tcPr>
          <w:p w:rsidR="00E766FA" w:rsidRDefault="00E766FA">
            <w:pPr>
              <w:pStyle w:val="TAC"/>
            </w:pPr>
          </w:p>
        </w:tc>
        <w:tc>
          <w:tcPr>
            <w:tcW w:w="1895" w:type="dxa"/>
            <w:tcBorders>
              <w:top w:val="nil"/>
              <w:left w:val="single" w:sz="4" w:space="0" w:color="auto"/>
              <w:bottom w:val="nil"/>
              <w:right w:val="single" w:sz="4" w:space="0" w:color="auto"/>
            </w:tcBorders>
          </w:tcPr>
          <w:p w:rsidR="00E766FA" w:rsidRDefault="00E766FA">
            <w:pPr>
              <w:pStyle w:val="TAC"/>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5250 – 5350</w:t>
            </w:r>
          </w:p>
        </w:tc>
        <w:tc>
          <w:tcPr>
            <w:tcW w:w="2160" w:type="dxa"/>
            <w:tcBorders>
              <w:top w:val="nil"/>
              <w:left w:val="single" w:sz="4" w:space="0" w:color="auto"/>
              <w:bottom w:val="nil"/>
              <w:right w:val="single" w:sz="4" w:space="0" w:color="auto"/>
            </w:tcBorders>
            <w:vAlign w:val="center"/>
          </w:tcPr>
          <w:p w:rsidR="00E766FA" w:rsidRDefault="00E766FA">
            <w:pPr>
              <w:pStyle w:val="TAC"/>
            </w:pP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nil"/>
              <w:right w:val="single" w:sz="4" w:space="0" w:color="auto"/>
            </w:tcBorders>
            <w:vAlign w:val="center"/>
          </w:tcPr>
          <w:p w:rsidR="00E766FA" w:rsidRDefault="00E766FA">
            <w:pPr>
              <w:pStyle w:val="TAC"/>
            </w:pPr>
          </w:p>
        </w:tc>
        <w:tc>
          <w:tcPr>
            <w:tcW w:w="1895" w:type="dxa"/>
            <w:tcBorders>
              <w:top w:val="nil"/>
              <w:left w:val="single" w:sz="4" w:space="0" w:color="auto"/>
              <w:bottom w:val="nil"/>
              <w:right w:val="single" w:sz="4" w:space="0" w:color="auto"/>
            </w:tcBorders>
          </w:tcPr>
          <w:p w:rsidR="00E766FA" w:rsidRDefault="00E766FA">
            <w:pPr>
              <w:pStyle w:val="TAC"/>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5470 – 5725</w:t>
            </w:r>
          </w:p>
        </w:tc>
        <w:tc>
          <w:tcPr>
            <w:tcW w:w="2160" w:type="dxa"/>
            <w:tcBorders>
              <w:top w:val="nil"/>
              <w:left w:val="single" w:sz="4" w:space="0" w:color="auto"/>
              <w:bottom w:val="nil"/>
              <w:right w:val="single" w:sz="4" w:space="0" w:color="auto"/>
            </w:tcBorders>
            <w:vAlign w:val="center"/>
          </w:tcPr>
          <w:p w:rsidR="00E766FA" w:rsidRDefault="00E766FA">
            <w:pPr>
              <w:pStyle w:val="TAC"/>
            </w:pP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Default="00E766FA">
            <w:pPr>
              <w:pStyle w:val="TAC"/>
            </w:pPr>
          </w:p>
        </w:tc>
        <w:tc>
          <w:tcPr>
            <w:tcW w:w="1445" w:type="dxa"/>
            <w:tcBorders>
              <w:top w:val="nil"/>
              <w:left w:val="single" w:sz="4" w:space="0" w:color="auto"/>
              <w:bottom w:val="nil"/>
              <w:right w:val="single" w:sz="4" w:space="0" w:color="auto"/>
            </w:tcBorders>
            <w:vAlign w:val="center"/>
          </w:tcPr>
          <w:p w:rsidR="00E766FA" w:rsidRDefault="00E766FA">
            <w:pPr>
              <w:pStyle w:val="TAC"/>
            </w:pPr>
          </w:p>
        </w:tc>
        <w:tc>
          <w:tcPr>
            <w:tcW w:w="1895" w:type="dxa"/>
            <w:tcBorders>
              <w:top w:val="nil"/>
              <w:left w:val="single" w:sz="4" w:space="0" w:color="auto"/>
              <w:bottom w:val="nil"/>
              <w:right w:val="single" w:sz="4" w:space="0" w:color="auto"/>
            </w:tcBorders>
          </w:tcPr>
          <w:p w:rsidR="00E766FA" w:rsidRDefault="00E766FA">
            <w:pPr>
              <w:pStyle w:val="TAC"/>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5725 - 5850</w:t>
            </w:r>
          </w:p>
        </w:tc>
        <w:tc>
          <w:tcPr>
            <w:tcW w:w="2160" w:type="dxa"/>
            <w:tcBorders>
              <w:top w:val="nil"/>
              <w:left w:val="single" w:sz="4" w:space="0" w:color="auto"/>
              <w:bottom w:val="nil"/>
              <w:right w:val="single" w:sz="4" w:space="0" w:color="auto"/>
            </w:tcBorders>
            <w:vAlign w:val="center"/>
          </w:tcPr>
          <w:p w:rsidR="00E766FA" w:rsidRDefault="00E766FA">
            <w:pPr>
              <w:pStyle w:val="TAC"/>
            </w:pPr>
          </w:p>
        </w:tc>
      </w:tr>
      <w:tr w:rsidR="00E766FA" w:rsidTr="00E766FA">
        <w:trPr>
          <w:trHeight w:val="187"/>
          <w:jc w:val="center"/>
        </w:trPr>
        <w:tc>
          <w:tcPr>
            <w:tcW w:w="900" w:type="dxa"/>
            <w:tcBorders>
              <w:top w:val="nil"/>
              <w:left w:val="single" w:sz="4" w:space="0" w:color="auto"/>
              <w:bottom w:val="single" w:sz="4" w:space="0" w:color="auto"/>
              <w:right w:val="single" w:sz="4" w:space="0" w:color="auto"/>
            </w:tcBorders>
          </w:tcPr>
          <w:p w:rsidR="00E766FA" w:rsidRDefault="00E766FA">
            <w:pPr>
              <w:pStyle w:val="TAC"/>
            </w:pPr>
          </w:p>
        </w:tc>
        <w:tc>
          <w:tcPr>
            <w:tcW w:w="1445" w:type="dxa"/>
            <w:tcBorders>
              <w:top w:val="nil"/>
              <w:left w:val="single" w:sz="4" w:space="0" w:color="auto"/>
              <w:bottom w:val="single" w:sz="4" w:space="0" w:color="auto"/>
              <w:right w:val="single" w:sz="4" w:space="0" w:color="auto"/>
            </w:tcBorders>
            <w:vAlign w:val="center"/>
          </w:tcPr>
          <w:p w:rsidR="00E766FA" w:rsidRDefault="00E766FA">
            <w:pPr>
              <w:pStyle w:val="TAC"/>
            </w:pPr>
          </w:p>
        </w:tc>
        <w:tc>
          <w:tcPr>
            <w:tcW w:w="1895" w:type="dxa"/>
            <w:tcBorders>
              <w:top w:val="nil"/>
              <w:left w:val="single" w:sz="4" w:space="0" w:color="auto"/>
              <w:bottom w:val="single" w:sz="4" w:space="0" w:color="auto"/>
              <w:right w:val="single" w:sz="4" w:space="0" w:color="auto"/>
            </w:tcBorders>
          </w:tcPr>
          <w:p w:rsidR="00E766FA" w:rsidRDefault="00E766FA">
            <w:pPr>
              <w:pStyle w:val="TAC"/>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5230 – 5250</w:t>
            </w:r>
          </w:p>
        </w:tc>
        <w:tc>
          <w:tcPr>
            <w:tcW w:w="2160" w:type="dxa"/>
            <w:tcBorders>
              <w:top w:val="nil"/>
              <w:left w:val="single" w:sz="4" w:space="0" w:color="auto"/>
              <w:bottom w:val="single" w:sz="4" w:space="0" w:color="auto"/>
              <w:right w:val="single" w:sz="4" w:space="0" w:color="auto"/>
            </w:tcBorders>
            <w:vAlign w:val="center"/>
          </w:tcPr>
          <w:p w:rsidR="00E766FA" w:rsidRDefault="00E766FA">
            <w:pPr>
              <w:pStyle w:val="TAC"/>
            </w:pPr>
          </w:p>
        </w:tc>
      </w:tr>
      <w:tr w:rsidR="00E766FA" w:rsidTr="00E766FA">
        <w:trPr>
          <w:trHeight w:val="187"/>
          <w:jc w:val="center"/>
        </w:trPr>
        <w:tc>
          <w:tcPr>
            <w:tcW w:w="900" w:type="dxa"/>
            <w:tcBorders>
              <w:top w:val="single" w:sz="4" w:space="0" w:color="auto"/>
              <w:left w:val="single" w:sz="4" w:space="0" w:color="auto"/>
              <w:bottom w:val="nil"/>
              <w:right w:val="single" w:sz="4" w:space="0" w:color="auto"/>
            </w:tcBorders>
            <w:hideMark/>
          </w:tcPr>
          <w:p w:rsidR="00E766FA" w:rsidRPr="00546F33" w:rsidRDefault="00E766FA">
            <w:pPr>
              <w:pStyle w:val="TAC"/>
              <w:rPr>
                <w:highlight w:val="yellow"/>
              </w:rPr>
            </w:pPr>
            <w:r w:rsidRPr="00546F33">
              <w:rPr>
                <w:highlight w:val="yellow"/>
              </w:rPr>
              <w:t>n96</w:t>
            </w:r>
          </w:p>
        </w:tc>
        <w:tc>
          <w:tcPr>
            <w:tcW w:w="1445" w:type="dxa"/>
            <w:tcBorders>
              <w:top w:val="single" w:sz="4" w:space="0" w:color="auto"/>
              <w:left w:val="single" w:sz="4" w:space="0" w:color="auto"/>
              <w:bottom w:val="single" w:sz="4" w:space="0" w:color="auto"/>
              <w:right w:val="single" w:sz="4" w:space="0" w:color="auto"/>
            </w:tcBorders>
            <w:vAlign w:val="center"/>
            <w:hideMark/>
          </w:tcPr>
          <w:p w:rsidR="00E766FA" w:rsidRPr="00546F33" w:rsidRDefault="00E766FA">
            <w:pPr>
              <w:pStyle w:val="TAC"/>
              <w:rPr>
                <w:highlight w:val="yellow"/>
              </w:rPr>
            </w:pPr>
            <w:r w:rsidRPr="00546F33">
              <w:rPr>
                <w:rFonts w:cs="Arial"/>
                <w:highlight w:val="yellow"/>
              </w:rPr>
              <w:t>NS_53</w:t>
            </w:r>
          </w:p>
        </w:tc>
        <w:tc>
          <w:tcPr>
            <w:tcW w:w="189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rPr>
                <w:rFonts w:cs="Arial"/>
              </w:rPr>
              <w:t>5925 – 7125</w:t>
            </w:r>
          </w:p>
        </w:tc>
        <w:tc>
          <w:tcPr>
            <w:tcW w:w="2160"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rPr>
                <w:rFonts w:cs="Arial"/>
                <w:lang w:eastAsia="zh-CN"/>
              </w:rPr>
              <w:t>-1</w:t>
            </w:r>
          </w:p>
        </w:tc>
      </w:tr>
      <w:tr w:rsidR="00E766FA" w:rsidTr="00E766FA">
        <w:trPr>
          <w:trHeight w:val="187"/>
          <w:jc w:val="center"/>
        </w:trPr>
        <w:tc>
          <w:tcPr>
            <w:tcW w:w="900" w:type="dxa"/>
            <w:tcBorders>
              <w:top w:val="nil"/>
              <w:left w:val="single" w:sz="4" w:space="0" w:color="auto"/>
              <w:bottom w:val="nil"/>
              <w:right w:val="single" w:sz="4" w:space="0" w:color="auto"/>
            </w:tcBorders>
          </w:tcPr>
          <w:p w:rsidR="00E766FA" w:rsidRPr="00546F33" w:rsidRDefault="00E766FA">
            <w:pPr>
              <w:pStyle w:val="TAC"/>
              <w:rPr>
                <w:highlight w:val="yellow"/>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rsidR="00E766FA" w:rsidRPr="00546F33" w:rsidRDefault="00E766FA">
            <w:pPr>
              <w:pStyle w:val="TAC"/>
              <w:rPr>
                <w:highlight w:val="yellow"/>
              </w:rPr>
            </w:pPr>
            <w:r w:rsidRPr="00546F33">
              <w:rPr>
                <w:rFonts w:cs="Arial"/>
                <w:highlight w:val="yellow"/>
              </w:rPr>
              <w:t>NS_54</w:t>
            </w:r>
          </w:p>
        </w:tc>
        <w:tc>
          <w:tcPr>
            <w:tcW w:w="1895" w:type="dxa"/>
            <w:vMerge w:val="restart"/>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rPr>
                <w:rFonts w:cs="Arial"/>
              </w:rPr>
              <w:t>5925 – 6425</w:t>
            </w:r>
          </w:p>
        </w:tc>
        <w:tc>
          <w:tcPr>
            <w:tcW w:w="2160" w:type="dxa"/>
            <w:tcBorders>
              <w:top w:val="single" w:sz="4" w:space="0" w:color="auto"/>
              <w:left w:val="single" w:sz="4" w:space="0" w:color="auto"/>
              <w:bottom w:val="nil"/>
              <w:right w:val="single" w:sz="4" w:space="0" w:color="auto"/>
            </w:tcBorders>
            <w:vAlign w:val="center"/>
            <w:hideMark/>
          </w:tcPr>
          <w:p w:rsidR="00E766FA" w:rsidRDefault="00E766FA">
            <w:pPr>
              <w:pStyle w:val="TAC"/>
            </w:pPr>
            <w:r>
              <w:t>17</w:t>
            </w:r>
          </w:p>
        </w:tc>
      </w:tr>
      <w:tr w:rsidR="00E766FA" w:rsidTr="00E766FA">
        <w:trPr>
          <w:trHeight w:val="70"/>
          <w:jc w:val="center"/>
        </w:trPr>
        <w:tc>
          <w:tcPr>
            <w:tcW w:w="900" w:type="dxa"/>
            <w:tcBorders>
              <w:top w:val="nil"/>
              <w:left w:val="single" w:sz="4" w:space="0" w:color="auto"/>
              <w:bottom w:val="single" w:sz="4" w:space="0" w:color="auto"/>
              <w:right w:val="single" w:sz="4" w:space="0" w:color="auto"/>
            </w:tcBorders>
          </w:tcPr>
          <w:p w:rsidR="00E766FA" w:rsidRDefault="00E766FA">
            <w:pPr>
              <w:pStyle w:val="TAC"/>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E766FA" w:rsidRDefault="00E766FA">
            <w:pPr>
              <w:spacing w:after="0"/>
              <w:rPr>
                <w:rFonts w:ascii="Arial" w:eastAsiaTheme="minorEastAsia" w:hAnsi="Arial"/>
                <w:sz w:val="18"/>
                <w:lang w:val="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E766FA" w:rsidRDefault="00E766FA">
            <w:pPr>
              <w:spacing w:after="0"/>
              <w:rPr>
                <w:rFonts w:ascii="Arial" w:eastAsiaTheme="minorEastAsia" w:hAnsi="Arial"/>
                <w:sz w:val="18"/>
                <w:lang w:val="en-GB"/>
              </w:rPr>
            </w:pPr>
          </w:p>
        </w:tc>
        <w:tc>
          <w:tcPr>
            <w:tcW w:w="306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rPr>
                <w:rFonts w:cs="Arial"/>
              </w:rPr>
              <w:t>6525 – 6875</w:t>
            </w:r>
          </w:p>
        </w:tc>
        <w:tc>
          <w:tcPr>
            <w:tcW w:w="2160" w:type="dxa"/>
            <w:tcBorders>
              <w:top w:val="nil"/>
              <w:left w:val="single" w:sz="4" w:space="0" w:color="auto"/>
              <w:bottom w:val="single" w:sz="4" w:space="0" w:color="auto"/>
              <w:right w:val="single" w:sz="4" w:space="0" w:color="auto"/>
            </w:tcBorders>
            <w:vAlign w:val="center"/>
          </w:tcPr>
          <w:p w:rsidR="00E766FA" w:rsidRDefault="00E766FA">
            <w:pPr>
              <w:pStyle w:val="TAC"/>
            </w:pPr>
          </w:p>
        </w:tc>
      </w:tr>
    </w:tbl>
    <w:p w:rsidR="00E766FA" w:rsidRDefault="00E766FA" w:rsidP="00E766FA">
      <w:pPr>
        <w:rPr>
          <w:lang w:eastAsia="zh-CN"/>
        </w:rPr>
      </w:pPr>
    </w:p>
    <w:p w:rsidR="00E766FA" w:rsidRDefault="00E766FA" w:rsidP="00E766FA">
      <w:pPr>
        <w:pStyle w:val="TH"/>
        <w:rPr>
          <w:lang w:eastAsia="en-US"/>
        </w:rPr>
      </w:pPr>
      <w:r>
        <w:t>Table 6.5F.3.3.5-1</w:t>
      </w:r>
      <w:r w:rsidR="00546F33" w:rsidRPr="00546F33">
        <w:t xml:space="preserve"> </w:t>
      </w:r>
      <w:r w:rsidR="00546F33">
        <w:t>in 38.101-1</w:t>
      </w:r>
      <w:r>
        <w:t>: Additional requirements</w:t>
      </w:r>
      <w:r w:rsidR="00546F33">
        <w:t xml:space="preserve"> for </w:t>
      </w:r>
      <w:r w:rsidR="00546F33" w:rsidRPr="00546F33">
        <w:rPr>
          <w:rFonts w:cs="Arial"/>
        </w:rPr>
        <w:t xml:space="preserve">NS_53 and </w:t>
      </w:r>
      <w:r w:rsidR="00546F33">
        <w:rPr>
          <w:rFonts w:cs="Arial"/>
        </w:rPr>
        <w:t>NS_54</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766FA" w:rsidTr="00E766FA">
        <w:trPr>
          <w:jc w:val="center"/>
        </w:trPr>
        <w:tc>
          <w:tcPr>
            <w:tcW w:w="0" w:type="auto"/>
            <w:tcBorders>
              <w:top w:val="single" w:sz="4" w:space="0" w:color="auto"/>
              <w:left w:val="single" w:sz="4" w:space="0" w:color="auto"/>
              <w:bottom w:val="single" w:sz="4" w:space="0" w:color="auto"/>
              <w:right w:val="single" w:sz="4" w:space="0" w:color="auto"/>
            </w:tcBorders>
            <w:hideMark/>
          </w:tcPr>
          <w:p w:rsidR="00E766FA" w:rsidRDefault="00E766FA">
            <w:pPr>
              <w:pStyle w:val="TAH"/>
            </w:pPr>
            <w:r>
              <w:t>Frequency band</w:t>
            </w:r>
          </w:p>
          <w:p w:rsidR="00E766FA" w:rsidRDefault="00E766FA">
            <w:pPr>
              <w:pStyle w:val="TAH"/>
            </w:pPr>
            <w:r>
              <w:t>(MHz)</w:t>
            </w:r>
          </w:p>
        </w:tc>
        <w:tc>
          <w:tcPr>
            <w:tcW w:w="0" w:type="auto"/>
            <w:tcBorders>
              <w:top w:val="single" w:sz="4" w:space="0" w:color="auto"/>
              <w:left w:val="single" w:sz="4" w:space="0" w:color="auto"/>
              <w:bottom w:val="single" w:sz="4" w:space="0" w:color="auto"/>
              <w:right w:val="single" w:sz="4" w:space="0" w:color="auto"/>
            </w:tcBorders>
            <w:hideMark/>
          </w:tcPr>
          <w:p w:rsidR="00E766FA" w:rsidRDefault="00E766FA">
            <w:pPr>
              <w:pStyle w:val="TAH"/>
            </w:pPr>
            <w:r>
              <w:t>Spectrum emission limit</w:t>
            </w:r>
          </w:p>
          <w:p w:rsidR="00E766FA" w:rsidRDefault="00E766FA">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E766FA" w:rsidRDefault="00E766FA">
            <w:pPr>
              <w:pStyle w:val="TAH"/>
            </w:pPr>
            <w:r>
              <w:t>Measurement bandwidth</w:t>
            </w:r>
          </w:p>
        </w:tc>
      </w:tr>
      <w:tr w:rsidR="00E766FA" w:rsidTr="00E766F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 xml:space="preserve">f </w:t>
            </w:r>
            <w:r>
              <w:rPr>
                <w:rFonts w:cs="Arial"/>
              </w:rPr>
              <w:t>≤</w:t>
            </w:r>
            <w:r>
              <w:t xml:space="preserve"> 5925</w:t>
            </w:r>
          </w:p>
        </w:tc>
        <w:tc>
          <w:tcPr>
            <w:tcW w:w="304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-27</w:t>
            </w:r>
          </w:p>
        </w:tc>
        <w:tc>
          <w:tcPr>
            <w:tcW w:w="1701" w:type="dxa"/>
            <w:tcBorders>
              <w:top w:val="single" w:sz="4" w:space="0" w:color="auto"/>
              <w:left w:val="single" w:sz="4" w:space="0" w:color="auto"/>
              <w:bottom w:val="nil"/>
              <w:right w:val="single" w:sz="4" w:space="0" w:color="auto"/>
            </w:tcBorders>
            <w:vAlign w:val="center"/>
            <w:hideMark/>
          </w:tcPr>
          <w:p w:rsidR="00E766FA" w:rsidRDefault="00E766FA">
            <w:pPr>
              <w:pStyle w:val="TAC"/>
            </w:pPr>
            <w:r>
              <w:t>1 MHz</w:t>
            </w:r>
          </w:p>
        </w:tc>
      </w:tr>
      <w:tr w:rsidR="00E766FA" w:rsidTr="00E766F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 xml:space="preserve">f </w:t>
            </w:r>
            <w:r>
              <w:rPr>
                <w:rFonts w:cs="Arial"/>
              </w:rPr>
              <w:t>≥</w:t>
            </w:r>
            <w:r>
              <w:t xml:space="preserve"> 7125</w:t>
            </w:r>
          </w:p>
        </w:tc>
        <w:tc>
          <w:tcPr>
            <w:tcW w:w="3045" w:type="dxa"/>
            <w:tcBorders>
              <w:top w:val="single" w:sz="4" w:space="0" w:color="auto"/>
              <w:left w:val="single" w:sz="4" w:space="0" w:color="auto"/>
              <w:bottom w:val="single" w:sz="4" w:space="0" w:color="auto"/>
              <w:right w:val="single" w:sz="4" w:space="0" w:color="auto"/>
            </w:tcBorders>
            <w:vAlign w:val="center"/>
            <w:hideMark/>
          </w:tcPr>
          <w:p w:rsidR="00E766FA" w:rsidRDefault="00E766FA">
            <w:pPr>
              <w:pStyle w:val="TAC"/>
            </w:pPr>
            <w:r>
              <w:t>-27</w:t>
            </w:r>
          </w:p>
        </w:tc>
        <w:tc>
          <w:tcPr>
            <w:tcW w:w="1701" w:type="dxa"/>
            <w:tcBorders>
              <w:top w:val="nil"/>
              <w:left w:val="single" w:sz="4" w:space="0" w:color="auto"/>
              <w:bottom w:val="single" w:sz="4" w:space="0" w:color="auto"/>
              <w:right w:val="single" w:sz="4" w:space="0" w:color="auto"/>
            </w:tcBorders>
            <w:vAlign w:val="center"/>
          </w:tcPr>
          <w:p w:rsidR="00E766FA" w:rsidRDefault="00E766FA">
            <w:pPr>
              <w:pStyle w:val="TAC"/>
            </w:pPr>
          </w:p>
        </w:tc>
      </w:tr>
    </w:tbl>
    <w:p w:rsidR="00E766FA" w:rsidRPr="00E766FA" w:rsidRDefault="00E766FA" w:rsidP="00E766FA">
      <w:pPr>
        <w:rPr>
          <w:lang w:eastAsia="zh-CN"/>
        </w:rPr>
      </w:pPr>
    </w:p>
    <w:p w:rsidR="00230043" w:rsidRDefault="002045EB" w:rsidP="002045EB">
      <w:pPr>
        <w:rPr>
          <w:lang w:eastAsia="en-JM"/>
        </w:rPr>
      </w:pPr>
      <w:r>
        <w:rPr>
          <w:lang w:eastAsia="zh-CN"/>
        </w:rPr>
        <w:t xml:space="preserve">In the scope of the WI, it covers </w:t>
      </w:r>
      <w:r w:rsidRPr="00216E4A">
        <w:t>Canada, Brazil, Peru, Chile</w:t>
      </w:r>
      <w:r>
        <w:t xml:space="preserve"> in Region 2 and South Korea in Region 3</w:t>
      </w:r>
      <w:r w:rsidR="0060250F">
        <w:t>.</w:t>
      </w:r>
      <w:r w:rsidR="00DD5452">
        <w:t xml:space="preserve"> The Very Low Power operation is </w:t>
      </w:r>
      <w:r w:rsidR="00DD5452">
        <w:rPr>
          <w:lang w:eastAsia="en-JM"/>
        </w:rPr>
        <w:t>authorized in Canada, Brazil and South Korea with different regulatory requirement</w:t>
      </w:r>
      <w:r w:rsidR="00A166F0">
        <w:rPr>
          <w:lang w:eastAsia="en-JM"/>
        </w:rPr>
        <w:t>.</w:t>
      </w:r>
    </w:p>
    <w:p w:rsidR="00A166F0" w:rsidRDefault="00A166F0" w:rsidP="002045EB">
      <w:pPr>
        <w:rPr>
          <w:lang w:eastAsia="en-JM"/>
        </w:rPr>
      </w:pPr>
    </w:p>
    <w:tbl>
      <w:tblPr>
        <w:tblStyle w:val="ad"/>
        <w:tblW w:w="5000" w:type="pct"/>
        <w:tblLook w:val="04A0" w:firstRow="1" w:lastRow="0" w:firstColumn="1" w:lastColumn="0" w:noHBand="0" w:noVBand="1"/>
      </w:tblPr>
      <w:tblGrid>
        <w:gridCol w:w="835"/>
        <w:gridCol w:w="998"/>
        <w:gridCol w:w="1597"/>
        <w:gridCol w:w="1372"/>
        <w:gridCol w:w="1294"/>
        <w:gridCol w:w="1521"/>
        <w:gridCol w:w="1690"/>
      </w:tblGrid>
      <w:tr w:rsidR="00A166F0" w:rsidTr="00A166F0">
        <w:tc>
          <w:tcPr>
            <w:tcW w:w="449" w:type="pct"/>
            <w:tcBorders>
              <w:top w:val="single" w:sz="4" w:space="0" w:color="auto"/>
              <w:left w:val="single" w:sz="4" w:space="0" w:color="auto"/>
              <w:bottom w:val="single" w:sz="4" w:space="0" w:color="auto"/>
              <w:right w:val="single" w:sz="4" w:space="0" w:color="auto"/>
            </w:tcBorders>
            <w:hideMark/>
          </w:tcPr>
          <w:p w:rsidR="00A166F0" w:rsidRDefault="00A166F0">
            <w:pPr>
              <w:pStyle w:val="TAH"/>
            </w:pPr>
            <w:r>
              <w:lastRenderedPageBreak/>
              <w:t>Region</w:t>
            </w:r>
          </w:p>
        </w:tc>
        <w:tc>
          <w:tcPr>
            <w:tcW w:w="536" w:type="pct"/>
            <w:tcBorders>
              <w:top w:val="single" w:sz="4" w:space="0" w:color="auto"/>
              <w:left w:val="single" w:sz="4" w:space="0" w:color="auto"/>
              <w:bottom w:val="single" w:sz="4" w:space="0" w:color="auto"/>
              <w:right w:val="single" w:sz="4" w:space="0" w:color="auto"/>
            </w:tcBorders>
            <w:hideMark/>
          </w:tcPr>
          <w:p w:rsidR="00A166F0" w:rsidRDefault="00A166F0">
            <w:pPr>
              <w:pStyle w:val="TAH"/>
            </w:pPr>
            <w:r>
              <w:t>Country</w:t>
            </w:r>
          </w:p>
        </w:tc>
        <w:tc>
          <w:tcPr>
            <w:tcW w:w="858" w:type="pct"/>
            <w:tcBorders>
              <w:top w:val="single" w:sz="4" w:space="0" w:color="auto"/>
              <w:left w:val="single" w:sz="4" w:space="0" w:color="auto"/>
              <w:bottom w:val="single" w:sz="4" w:space="0" w:color="auto"/>
              <w:right w:val="single" w:sz="4" w:space="0" w:color="auto"/>
            </w:tcBorders>
            <w:hideMark/>
          </w:tcPr>
          <w:p w:rsidR="00A166F0" w:rsidRDefault="00A166F0">
            <w:pPr>
              <w:pStyle w:val="TAH"/>
            </w:pPr>
            <w:r>
              <w:t>Permissible operation</w:t>
            </w:r>
          </w:p>
          <w:p w:rsidR="00A166F0" w:rsidRDefault="00A166F0">
            <w:pPr>
              <w:pStyle w:val="TAH"/>
            </w:pPr>
            <w:r>
              <w:t>(Note 1)</w:t>
            </w:r>
          </w:p>
        </w:tc>
        <w:tc>
          <w:tcPr>
            <w:tcW w:w="737" w:type="pct"/>
            <w:tcBorders>
              <w:top w:val="single" w:sz="4" w:space="0" w:color="auto"/>
              <w:left w:val="single" w:sz="4" w:space="0" w:color="auto"/>
              <w:bottom w:val="single" w:sz="4" w:space="0" w:color="auto"/>
              <w:right w:val="single" w:sz="4" w:space="0" w:color="auto"/>
            </w:tcBorders>
            <w:hideMark/>
          </w:tcPr>
          <w:p w:rsidR="00A166F0" w:rsidRDefault="00A166F0">
            <w:pPr>
              <w:pStyle w:val="TAH"/>
            </w:pPr>
            <w:r>
              <w:t>Frequency range</w:t>
            </w:r>
          </w:p>
        </w:tc>
        <w:tc>
          <w:tcPr>
            <w:tcW w:w="695" w:type="pct"/>
            <w:tcBorders>
              <w:top w:val="single" w:sz="4" w:space="0" w:color="auto"/>
              <w:left w:val="single" w:sz="4" w:space="0" w:color="auto"/>
              <w:bottom w:val="single" w:sz="4" w:space="0" w:color="auto"/>
              <w:right w:val="single" w:sz="4" w:space="0" w:color="auto"/>
            </w:tcBorders>
            <w:hideMark/>
          </w:tcPr>
          <w:p w:rsidR="00A166F0" w:rsidRDefault="00A166F0">
            <w:pPr>
              <w:pStyle w:val="TAH"/>
            </w:pPr>
            <w:r>
              <w:t>Maximum mean EIRP for in-band emissions</w:t>
            </w:r>
          </w:p>
        </w:tc>
        <w:tc>
          <w:tcPr>
            <w:tcW w:w="817" w:type="pct"/>
            <w:tcBorders>
              <w:top w:val="single" w:sz="4" w:space="0" w:color="auto"/>
              <w:left w:val="single" w:sz="4" w:space="0" w:color="auto"/>
              <w:bottom w:val="single" w:sz="4" w:space="0" w:color="auto"/>
              <w:right w:val="single" w:sz="4" w:space="0" w:color="auto"/>
            </w:tcBorders>
            <w:hideMark/>
          </w:tcPr>
          <w:p w:rsidR="00A166F0" w:rsidRDefault="00A166F0">
            <w:pPr>
              <w:pStyle w:val="TAH"/>
            </w:pPr>
            <w:r>
              <w:t>Maximum mean EIRP density for in-band emissions</w:t>
            </w:r>
          </w:p>
        </w:tc>
        <w:tc>
          <w:tcPr>
            <w:tcW w:w="908" w:type="pct"/>
            <w:tcBorders>
              <w:top w:val="single" w:sz="4" w:space="0" w:color="auto"/>
              <w:left w:val="single" w:sz="4" w:space="0" w:color="auto"/>
              <w:bottom w:val="single" w:sz="4" w:space="0" w:color="auto"/>
              <w:right w:val="single" w:sz="4" w:space="0" w:color="auto"/>
            </w:tcBorders>
            <w:hideMark/>
          </w:tcPr>
          <w:p w:rsidR="00A166F0" w:rsidRDefault="00A166F0">
            <w:pPr>
              <w:pStyle w:val="TAH"/>
            </w:pPr>
            <w:r>
              <w:t>Maximum mean EIRP density for out-of-band emissions</w:t>
            </w:r>
          </w:p>
        </w:tc>
      </w:tr>
      <w:tr w:rsidR="00A166F0" w:rsidTr="00A166F0">
        <w:trPr>
          <w:trHeight w:val="621"/>
        </w:trPr>
        <w:tc>
          <w:tcPr>
            <w:tcW w:w="449" w:type="pct"/>
            <w:vMerge w:val="restar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Region 2</w:t>
            </w:r>
          </w:p>
        </w:tc>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US</w:t>
            </w:r>
          </w:p>
        </w:tc>
        <w:tc>
          <w:tcPr>
            <w:tcW w:w="858"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L"/>
            </w:pPr>
            <w:r>
              <w:t>SP (see 4.2.1)</w:t>
            </w:r>
          </w:p>
        </w:tc>
        <w:tc>
          <w:tcPr>
            <w:tcW w:w="73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5925 – 6425MHz</w:t>
            </w:r>
          </w:p>
          <w:p w:rsidR="00A166F0" w:rsidRDefault="00A166F0">
            <w:pPr>
              <w:pStyle w:val="TAC"/>
            </w:pPr>
            <w:r>
              <w:t>6525 – 6875MHz</w:t>
            </w:r>
          </w:p>
        </w:tc>
        <w:tc>
          <w:tcPr>
            <w:tcW w:w="695"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36dBm (AP)</w:t>
            </w:r>
          </w:p>
          <w:p w:rsidR="00A166F0" w:rsidRDefault="00A166F0">
            <w:pPr>
              <w:pStyle w:val="TAC"/>
            </w:pPr>
            <w:r>
              <w:t>30dBm (CL)</w:t>
            </w:r>
          </w:p>
        </w:tc>
        <w:tc>
          <w:tcPr>
            <w:tcW w:w="81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23dBm/MHz (AP)</w:t>
            </w:r>
          </w:p>
          <w:p w:rsidR="00A166F0" w:rsidRDefault="00A166F0">
            <w:pPr>
              <w:pStyle w:val="TAC"/>
            </w:pPr>
            <w:r>
              <w:t>17dBm/MHz (CL)</w:t>
            </w:r>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-27 dBm/MHz</w:t>
            </w:r>
          </w:p>
          <w:p w:rsidR="00A166F0" w:rsidRDefault="00A166F0">
            <w:pPr>
              <w:pStyle w:val="TAC"/>
            </w:pPr>
            <w:r>
              <w:t>(outside operational range)</w:t>
            </w:r>
          </w:p>
        </w:tc>
      </w:tr>
      <w:tr w:rsidR="00A166F0" w:rsidTr="00A166F0">
        <w:tc>
          <w:tcPr>
            <w:tcW w:w="449"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858"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L"/>
            </w:pPr>
            <w:r>
              <w:t>LPI (see 4.2.1)</w:t>
            </w:r>
          </w:p>
        </w:tc>
        <w:tc>
          <w:tcPr>
            <w:tcW w:w="73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5925 – 7125MHz</w:t>
            </w:r>
          </w:p>
        </w:tc>
        <w:tc>
          <w:tcPr>
            <w:tcW w:w="695"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30dBm (AP)</w:t>
            </w:r>
          </w:p>
          <w:p w:rsidR="00A166F0" w:rsidRDefault="00A166F0">
            <w:pPr>
              <w:pStyle w:val="TAC"/>
            </w:pPr>
            <w:r>
              <w:t>24dBm (CL)</w:t>
            </w:r>
          </w:p>
        </w:tc>
        <w:tc>
          <w:tcPr>
            <w:tcW w:w="81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 dBm/MHz (AP)</w:t>
            </w:r>
          </w:p>
          <w:p w:rsidR="00A166F0" w:rsidRDefault="00A166F0">
            <w:pPr>
              <w:pStyle w:val="TAC"/>
            </w:pPr>
            <w:r>
              <w:t>-1 dBm/MHz (CL)</w:t>
            </w: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r>
      <w:tr w:rsidR="00A166F0" w:rsidTr="00A166F0">
        <w:tc>
          <w:tcPr>
            <w:tcW w:w="449"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536"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85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L"/>
            </w:pPr>
          </w:p>
        </w:tc>
        <w:tc>
          <w:tcPr>
            <w:tcW w:w="737"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695"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817"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90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r>
      <w:tr w:rsidR="00A166F0" w:rsidTr="00A166F0">
        <w:tc>
          <w:tcPr>
            <w:tcW w:w="449"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Canada</w:t>
            </w:r>
          </w:p>
        </w:tc>
        <w:tc>
          <w:tcPr>
            <w:tcW w:w="858"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L"/>
            </w:pPr>
            <w:r>
              <w:t>SP (see 4.2.2)</w:t>
            </w:r>
          </w:p>
        </w:tc>
        <w:tc>
          <w:tcPr>
            <w:tcW w:w="73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5925-6875 MHz</w:t>
            </w:r>
          </w:p>
        </w:tc>
        <w:tc>
          <w:tcPr>
            <w:tcW w:w="695"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36dBm</w:t>
            </w:r>
          </w:p>
        </w:tc>
        <w:tc>
          <w:tcPr>
            <w:tcW w:w="81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23dBm/MHz</w:t>
            </w:r>
          </w:p>
        </w:tc>
        <w:tc>
          <w:tcPr>
            <w:tcW w:w="90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r>
      <w:tr w:rsidR="00A166F0" w:rsidTr="00A166F0">
        <w:tc>
          <w:tcPr>
            <w:tcW w:w="449"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858"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L"/>
            </w:pPr>
            <w:r>
              <w:t>LPI (see 4.2.2)</w:t>
            </w:r>
          </w:p>
        </w:tc>
        <w:tc>
          <w:tcPr>
            <w:tcW w:w="737" w:type="pct"/>
            <w:vMerge w:val="restar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5925-7125 MHz</w:t>
            </w:r>
          </w:p>
        </w:tc>
        <w:tc>
          <w:tcPr>
            <w:tcW w:w="695"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30dBm</w:t>
            </w:r>
          </w:p>
        </w:tc>
        <w:tc>
          <w:tcPr>
            <w:tcW w:w="81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 dBm/MHz</w:t>
            </w:r>
          </w:p>
        </w:tc>
        <w:tc>
          <w:tcPr>
            <w:tcW w:w="90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r>
      <w:tr w:rsidR="00A166F0" w:rsidTr="00A166F0">
        <w:tc>
          <w:tcPr>
            <w:tcW w:w="449"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858"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L"/>
            </w:pPr>
            <w:r>
              <w:t>VLP (see 4.2.2)</w:t>
            </w:r>
          </w:p>
        </w:tc>
        <w:tc>
          <w:tcPr>
            <w:tcW w:w="737"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695"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14dBm</w:t>
            </w:r>
          </w:p>
        </w:tc>
        <w:tc>
          <w:tcPr>
            <w:tcW w:w="81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-8dBm/MHz</w:t>
            </w:r>
          </w:p>
        </w:tc>
        <w:tc>
          <w:tcPr>
            <w:tcW w:w="90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r>
      <w:tr w:rsidR="00A166F0" w:rsidTr="00A166F0">
        <w:tc>
          <w:tcPr>
            <w:tcW w:w="449"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536"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85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L"/>
            </w:pPr>
          </w:p>
        </w:tc>
        <w:tc>
          <w:tcPr>
            <w:tcW w:w="737"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695"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817"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90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r>
      <w:tr w:rsidR="00A166F0" w:rsidTr="00A166F0">
        <w:tc>
          <w:tcPr>
            <w:tcW w:w="449"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Brazil</w:t>
            </w:r>
          </w:p>
        </w:tc>
        <w:tc>
          <w:tcPr>
            <w:tcW w:w="858"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L"/>
            </w:pPr>
            <w:r>
              <w:t>LPI (see 4.2.3)</w:t>
            </w:r>
          </w:p>
        </w:tc>
        <w:tc>
          <w:tcPr>
            <w:tcW w:w="737" w:type="pct"/>
            <w:vMerge w:val="restar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5925 – 7125MHz</w:t>
            </w:r>
          </w:p>
        </w:tc>
        <w:tc>
          <w:tcPr>
            <w:tcW w:w="695"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30dBm (AP)</w:t>
            </w:r>
          </w:p>
          <w:p w:rsidR="00A166F0" w:rsidRDefault="00A166F0">
            <w:pPr>
              <w:pStyle w:val="TAC"/>
            </w:pPr>
            <w:r>
              <w:t>24dBm (CL)</w:t>
            </w:r>
          </w:p>
        </w:tc>
        <w:tc>
          <w:tcPr>
            <w:tcW w:w="81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5dBm/MHz (AP)</w:t>
            </w:r>
          </w:p>
          <w:p w:rsidR="00A166F0" w:rsidRDefault="00A166F0">
            <w:pPr>
              <w:pStyle w:val="TAC"/>
            </w:pPr>
            <w:r>
              <w:t>-1dBm/MHz (CL)</w:t>
            </w:r>
          </w:p>
        </w:tc>
        <w:tc>
          <w:tcPr>
            <w:tcW w:w="908" w:type="pct"/>
            <w:vMerge w:val="restar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-27 dBm/MHz (outside operational range)</w:t>
            </w:r>
          </w:p>
        </w:tc>
      </w:tr>
      <w:tr w:rsidR="00A166F0" w:rsidTr="00A166F0">
        <w:tc>
          <w:tcPr>
            <w:tcW w:w="449"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858"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L"/>
            </w:pPr>
            <w:r>
              <w:t>VLP (see 4.2.3)</w:t>
            </w:r>
          </w:p>
        </w:tc>
        <w:tc>
          <w:tcPr>
            <w:tcW w:w="737"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695"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17 dBm</w:t>
            </w:r>
          </w:p>
        </w:tc>
        <w:tc>
          <w:tcPr>
            <w:tcW w:w="81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 dBm/MHz</w:t>
            </w: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r>
      <w:tr w:rsidR="00A166F0" w:rsidTr="00A166F0">
        <w:tc>
          <w:tcPr>
            <w:tcW w:w="449"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536"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85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L"/>
            </w:pPr>
          </w:p>
        </w:tc>
        <w:tc>
          <w:tcPr>
            <w:tcW w:w="737"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695"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817"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90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r>
      <w:tr w:rsidR="00A166F0" w:rsidTr="00A166F0">
        <w:tc>
          <w:tcPr>
            <w:tcW w:w="449"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536"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Peru</w:t>
            </w:r>
          </w:p>
        </w:tc>
        <w:tc>
          <w:tcPr>
            <w:tcW w:w="858"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L"/>
            </w:pPr>
            <w:r>
              <w:t>LPI (see 4.2.4)</w:t>
            </w:r>
          </w:p>
        </w:tc>
        <w:tc>
          <w:tcPr>
            <w:tcW w:w="73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5925 – 7125MHz</w:t>
            </w:r>
          </w:p>
        </w:tc>
        <w:tc>
          <w:tcPr>
            <w:tcW w:w="695"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30dBm (AP)</w:t>
            </w:r>
          </w:p>
          <w:p w:rsidR="00A166F0" w:rsidRDefault="00A166F0">
            <w:pPr>
              <w:pStyle w:val="TAC"/>
            </w:pPr>
            <w:r>
              <w:t>24dBm (CL)</w:t>
            </w:r>
          </w:p>
        </w:tc>
        <w:tc>
          <w:tcPr>
            <w:tcW w:w="81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5dBm/MHz (AP)</w:t>
            </w:r>
          </w:p>
          <w:p w:rsidR="00A166F0" w:rsidRDefault="00A166F0">
            <w:pPr>
              <w:pStyle w:val="TAC"/>
            </w:pPr>
            <w:r>
              <w:t>-1dBm/MHz (CL)</w:t>
            </w:r>
          </w:p>
        </w:tc>
        <w:tc>
          <w:tcPr>
            <w:tcW w:w="90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r>
      <w:tr w:rsidR="00A166F0" w:rsidTr="00A166F0">
        <w:tc>
          <w:tcPr>
            <w:tcW w:w="449"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536"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85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L"/>
            </w:pPr>
          </w:p>
        </w:tc>
        <w:tc>
          <w:tcPr>
            <w:tcW w:w="737"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695"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817"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90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r>
      <w:tr w:rsidR="00A166F0" w:rsidTr="00A166F0">
        <w:tc>
          <w:tcPr>
            <w:tcW w:w="449"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536"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Chile</w:t>
            </w:r>
          </w:p>
        </w:tc>
        <w:tc>
          <w:tcPr>
            <w:tcW w:w="858"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L"/>
            </w:pPr>
            <w:r>
              <w:t>LPI (see 4.2.5)</w:t>
            </w:r>
          </w:p>
        </w:tc>
        <w:tc>
          <w:tcPr>
            <w:tcW w:w="73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5925 – 7125MHz</w:t>
            </w:r>
          </w:p>
        </w:tc>
        <w:tc>
          <w:tcPr>
            <w:tcW w:w="695"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30dBm (AP)</w:t>
            </w:r>
          </w:p>
          <w:p w:rsidR="00A166F0" w:rsidRDefault="00A166F0">
            <w:pPr>
              <w:pStyle w:val="TAC"/>
            </w:pPr>
            <w:r>
              <w:t>24dBm (CL)</w:t>
            </w:r>
          </w:p>
        </w:tc>
        <w:tc>
          <w:tcPr>
            <w:tcW w:w="81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5dBm/MHz (AP)</w:t>
            </w:r>
          </w:p>
          <w:p w:rsidR="00A166F0" w:rsidRDefault="00A166F0">
            <w:pPr>
              <w:pStyle w:val="TAC"/>
            </w:pPr>
            <w:r>
              <w:t>-1dBm/MHz (CL)</w:t>
            </w:r>
          </w:p>
        </w:tc>
        <w:tc>
          <w:tcPr>
            <w:tcW w:w="90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r>
      <w:tr w:rsidR="00A166F0" w:rsidTr="00A166F0">
        <w:tc>
          <w:tcPr>
            <w:tcW w:w="449"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536"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85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L"/>
            </w:pPr>
          </w:p>
        </w:tc>
        <w:tc>
          <w:tcPr>
            <w:tcW w:w="737"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695"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817"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c>
          <w:tcPr>
            <w:tcW w:w="908" w:type="pct"/>
            <w:tcBorders>
              <w:top w:val="single" w:sz="4" w:space="0" w:color="auto"/>
              <w:left w:val="single" w:sz="4" w:space="0" w:color="auto"/>
              <w:bottom w:val="single" w:sz="4" w:space="0" w:color="auto"/>
              <w:right w:val="single" w:sz="4" w:space="0" w:color="auto"/>
            </w:tcBorders>
            <w:vAlign w:val="center"/>
          </w:tcPr>
          <w:p w:rsidR="00A166F0" w:rsidRDefault="00A166F0">
            <w:pPr>
              <w:pStyle w:val="TAC"/>
            </w:pPr>
          </w:p>
        </w:tc>
      </w:tr>
      <w:tr w:rsidR="00A166F0" w:rsidTr="00A166F0">
        <w:tc>
          <w:tcPr>
            <w:tcW w:w="449" w:type="pct"/>
            <w:vMerge w:val="restar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Region 3</w:t>
            </w:r>
          </w:p>
        </w:tc>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South Korea</w:t>
            </w:r>
          </w:p>
        </w:tc>
        <w:tc>
          <w:tcPr>
            <w:tcW w:w="858"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L"/>
            </w:pPr>
            <w:r>
              <w:t>LPI (see 4.3.2)</w:t>
            </w:r>
          </w:p>
        </w:tc>
        <w:tc>
          <w:tcPr>
            <w:tcW w:w="73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5925 – 7125MHz</w:t>
            </w:r>
          </w:p>
        </w:tc>
        <w:tc>
          <w:tcPr>
            <w:tcW w:w="695"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24dBm</w:t>
            </w:r>
          </w:p>
        </w:tc>
        <w:tc>
          <w:tcPr>
            <w:tcW w:w="81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2dBm/MHz</w:t>
            </w:r>
          </w:p>
        </w:tc>
        <w:tc>
          <w:tcPr>
            <w:tcW w:w="908"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-27 dBm/MHz (outside operational range)</w:t>
            </w:r>
          </w:p>
        </w:tc>
      </w:tr>
      <w:tr w:rsidR="00A166F0" w:rsidTr="00A166F0">
        <w:tc>
          <w:tcPr>
            <w:tcW w:w="449"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rsidR="00A166F0" w:rsidRDefault="00A166F0">
            <w:pPr>
              <w:spacing w:after="0"/>
              <w:rPr>
                <w:rFonts w:ascii="Arial" w:eastAsiaTheme="minorEastAsia" w:hAnsi="Arial"/>
                <w:sz w:val="18"/>
                <w:lang w:val="en-GB"/>
              </w:rPr>
            </w:pPr>
          </w:p>
        </w:tc>
        <w:tc>
          <w:tcPr>
            <w:tcW w:w="858"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L"/>
            </w:pPr>
            <w:r>
              <w:t>VLP (see 4.3.2)</w:t>
            </w:r>
          </w:p>
        </w:tc>
        <w:tc>
          <w:tcPr>
            <w:tcW w:w="73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5925 – 6425MHz</w:t>
            </w:r>
          </w:p>
        </w:tc>
        <w:tc>
          <w:tcPr>
            <w:tcW w:w="695"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14dBm</w:t>
            </w:r>
          </w:p>
        </w:tc>
        <w:tc>
          <w:tcPr>
            <w:tcW w:w="817"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1dBm/MHz</w:t>
            </w:r>
          </w:p>
        </w:tc>
        <w:tc>
          <w:tcPr>
            <w:tcW w:w="908" w:type="pct"/>
            <w:tcBorders>
              <w:top w:val="single" w:sz="4" w:space="0" w:color="auto"/>
              <w:left w:val="single" w:sz="4" w:space="0" w:color="auto"/>
              <w:bottom w:val="single" w:sz="4" w:space="0" w:color="auto"/>
              <w:right w:val="single" w:sz="4" w:space="0" w:color="auto"/>
            </w:tcBorders>
            <w:vAlign w:val="center"/>
            <w:hideMark/>
          </w:tcPr>
          <w:p w:rsidR="00A166F0" w:rsidRDefault="00A166F0">
            <w:pPr>
              <w:pStyle w:val="TAC"/>
            </w:pPr>
            <w:r>
              <w:t>-34 dBm/MHz (outside operational range)</w:t>
            </w:r>
          </w:p>
        </w:tc>
      </w:tr>
      <w:tr w:rsidR="00A166F0" w:rsidTr="00A166F0">
        <w:tc>
          <w:tcPr>
            <w:tcW w:w="5000" w:type="pct"/>
            <w:gridSpan w:val="7"/>
            <w:tcBorders>
              <w:top w:val="single" w:sz="4" w:space="0" w:color="auto"/>
              <w:left w:val="single" w:sz="4" w:space="0" w:color="auto"/>
              <w:bottom w:val="single" w:sz="4" w:space="0" w:color="auto"/>
              <w:right w:val="single" w:sz="4" w:space="0" w:color="auto"/>
            </w:tcBorders>
            <w:hideMark/>
          </w:tcPr>
          <w:p w:rsidR="00A166F0" w:rsidRDefault="00A166F0">
            <w:pPr>
              <w:pStyle w:val="TAN"/>
            </w:pPr>
            <w:r>
              <w:t>Note 1: For the exact conditions of operation, refer to the sub-clause which is mentioned in parenthesis (e.g. for the exact conditions for operating SP in US, refer to sub-clause 4.2.1.)</w:t>
            </w:r>
          </w:p>
        </w:tc>
      </w:tr>
    </w:tbl>
    <w:p w:rsidR="00A166F0" w:rsidRDefault="00A166F0" w:rsidP="002045EB">
      <w:pPr>
        <w:rPr>
          <w:lang w:eastAsia="zh-CN"/>
        </w:rPr>
      </w:pPr>
    </w:p>
    <w:p w:rsidR="00A166F0" w:rsidRPr="00A166F0" w:rsidRDefault="00A166F0" w:rsidP="002045EB">
      <w:pPr>
        <w:rPr>
          <w:lang w:eastAsia="zh-CN"/>
        </w:rPr>
      </w:pPr>
      <w:r w:rsidRPr="00A166F0">
        <w:rPr>
          <w:b/>
          <w:lang w:eastAsia="zh-CN"/>
        </w:rPr>
        <w:t>Proposal:</w:t>
      </w:r>
      <w:r>
        <w:rPr>
          <w:b/>
          <w:lang w:eastAsia="zh-CN"/>
        </w:rPr>
        <w:t xml:space="preserve"> </w:t>
      </w:r>
      <w:r>
        <w:rPr>
          <w:lang w:eastAsia="zh-CN"/>
        </w:rPr>
        <w:t xml:space="preserve">The introduction of VLP should be addressed in the WI in term of power class and regulatory requirements for </w:t>
      </w:r>
      <w:r>
        <w:rPr>
          <w:lang w:eastAsia="en-JM"/>
        </w:rPr>
        <w:t>Canada, Brazil and South Korea.</w:t>
      </w:r>
    </w:p>
    <w:p w:rsidR="00A45357"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DB7DF8" w:rsidRDefault="00523B83" w:rsidP="00DB7DF8">
      <w:pPr>
        <w:rPr>
          <w:lang w:eastAsia="zh-CN"/>
        </w:rPr>
      </w:pPr>
      <w:r>
        <w:rPr>
          <w:rFonts w:hint="eastAsia"/>
          <w:lang w:eastAsia="zh-CN"/>
        </w:rPr>
        <w:t>I</w:t>
      </w:r>
      <w:r>
        <w:rPr>
          <w:lang w:eastAsia="zh-CN"/>
        </w:rPr>
        <w:t>n the contri</w:t>
      </w:r>
      <w:r w:rsidR="00ED546C">
        <w:rPr>
          <w:lang w:eastAsia="zh-CN"/>
        </w:rPr>
        <w:t>bution, we provide.</w:t>
      </w:r>
    </w:p>
    <w:p w:rsidR="00A166F0" w:rsidRPr="00A166F0" w:rsidRDefault="00A166F0" w:rsidP="00A166F0">
      <w:pPr>
        <w:rPr>
          <w:lang w:eastAsia="zh-CN"/>
        </w:rPr>
      </w:pPr>
      <w:r w:rsidRPr="00A166F0">
        <w:rPr>
          <w:b/>
          <w:lang w:eastAsia="zh-CN"/>
        </w:rPr>
        <w:t>Proposal:</w:t>
      </w:r>
      <w:r>
        <w:rPr>
          <w:lang w:eastAsia="zh-CN"/>
        </w:rPr>
        <w:t xml:space="preserve"> The introduction of VLP should be addressed in the WI in term of power class and regulatory requirements for </w:t>
      </w:r>
      <w:r>
        <w:rPr>
          <w:lang w:eastAsia="en-JM"/>
        </w:rPr>
        <w:t>Canada, Brazil and South Korea.</w:t>
      </w: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9A31FD" w:rsidRPr="009A31FD" w:rsidRDefault="00322C60" w:rsidP="00322C60">
      <w:pPr>
        <w:pStyle w:val="References"/>
        <w:rPr>
          <w:lang w:eastAsia="zh-CN"/>
        </w:rPr>
      </w:pPr>
      <w:r w:rsidRPr="00322C60">
        <w:rPr>
          <w:lang w:eastAsia="zh-CN"/>
        </w:rPr>
        <w:t>RP-211602</w:t>
      </w:r>
      <w:r w:rsidR="0025622A">
        <w:rPr>
          <w:rFonts w:hint="eastAsia"/>
          <w:lang w:eastAsia="zh-CN"/>
        </w:rPr>
        <w:t>,</w:t>
      </w:r>
      <w:r w:rsidR="0025622A">
        <w:rPr>
          <w:lang w:eastAsia="zh-CN"/>
        </w:rPr>
        <w:t xml:space="preserve"> </w:t>
      </w:r>
      <w:r w:rsidRPr="00322C60">
        <w:rPr>
          <w:lang w:eastAsia="zh-CN"/>
        </w:rPr>
        <w:t>New WID for Introduction of operation in full unlicensed band 5925-7125MHz</w:t>
      </w:r>
      <w:r w:rsidR="009A31FD" w:rsidRPr="009A31FD">
        <w:rPr>
          <w:lang w:eastAsia="zh-CN"/>
        </w:rPr>
        <w:t xml:space="preserve">, </w:t>
      </w:r>
      <w:r w:rsidRPr="00322C60">
        <w:rPr>
          <w:lang w:eastAsia="zh-CN"/>
        </w:rPr>
        <w:t>Apple Inc.</w:t>
      </w:r>
    </w:p>
    <w:p w:rsidR="00924FAF" w:rsidRDefault="00924FAF" w:rsidP="00023C30">
      <w:pPr>
        <w:pStyle w:val="References"/>
        <w:numPr>
          <w:ilvl w:val="0"/>
          <w:numId w:val="0"/>
        </w:numPr>
        <w:rPr>
          <w:lang w:eastAsia="zh-CN"/>
        </w:rPr>
      </w:pPr>
    </w:p>
    <w:p w:rsidR="00E407EA" w:rsidRPr="00400B35" w:rsidRDefault="00E407EA" w:rsidP="00612E55">
      <w:pPr>
        <w:pStyle w:val="References"/>
        <w:numPr>
          <w:ilvl w:val="0"/>
          <w:numId w:val="0"/>
        </w:numPr>
        <w:ind w:left="360"/>
        <w:rPr>
          <w:lang w:eastAsia="zh-CN"/>
        </w:rPr>
      </w:pPr>
    </w:p>
    <w:sectPr w:rsidR="00E407EA" w:rsidRPr="00400B3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293" w:rsidRDefault="004A1293">
      <w:r>
        <w:separator/>
      </w:r>
    </w:p>
  </w:endnote>
  <w:endnote w:type="continuationSeparator" w:id="0">
    <w:p w:rsidR="004A1293" w:rsidRDefault="004A1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293" w:rsidRDefault="004A1293">
      <w:r>
        <w:separator/>
      </w:r>
    </w:p>
  </w:footnote>
  <w:footnote w:type="continuationSeparator" w:id="0">
    <w:p w:rsidR="004A1293" w:rsidRDefault="004A12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4088C"/>
    <w:multiLevelType w:val="hybridMultilevel"/>
    <w:tmpl w:val="4260B2F8"/>
    <w:lvl w:ilvl="0" w:tplc="517EDFA2">
      <w:start w:val="1"/>
      <w:numFmt w:val="bullet"/>
      <w:lvlText w:val="•"/>
      <w:lvlJc w:val="left"/>
      <w:pPr>
        <w:tabs>
          <w:tab w:val="num" w:pos="720"/>
        </w:tabs>
        <w:ind w:left="720" w:hanging="360"/>
      </w:pPr>
      <w:rPr>
        <w:rFonts w:ascii="Arial" w:hAnsi="Arial" w:hint="default"/>
      </w:rPr>
    </w:lvl>
    <w:lvl w:ilvl="1" w:tplc="EA6CC3C8">
      <w:numFmt w:val="bullet"/>
      <w:lvlText w:val="•"/>
      <w:lvlJc w:val="left"/>
      <w:pPr>
        <w:tabs>
          <w:tab w:val="num" w:pos="1440"/>
        </w:tabs>
        <w:ind w:left="1440" w:hanging="360"/>
      </w:pPr>
      <w:rPr>
        <w:rFonts w:ascii="Arial" w:hAnsi="Arial" w:hint="default"/>
      </w:rPr>
    </w:lvl>
    <w:lvl w:ilvl="2" w:tplc="85D22808">
      <w:numFmt w:val="bullet"/>
      <w:lvlText w:val="•"/>
      <w:lvlJc w:val="left"/>
      <w:pPr>
        <w:tabs>
          <w:tab w:val="num" w:pos="2160"/>
        </w:tabs>
        <w:ind w:left="2160" w:hanging="360"/>
      </w:pPr>
      <w:rPr>
        <w:rFonts w:ascii="Arial" w:hAnsi="Arial" w:hint="default"/>
      </w:rPr>
    </w:lvl>
    <w:lvl w:ilvl="3" w:tplc="FF12EEE4" w:tentative="1">
      <w:start w:val="1"/>
      <w:numFmt w:val="bullet"/>
      <w:lvlText w:val="•"/>
      <w:lvlJc w:val="left"/>
      <w:pPr>
        <w:tabs>
          <w:tab w:val="num" w:pos="2880"/>
        </w:tabs>
        <w:ind w:left="2880" w:hanging="360"/>
      </w:pPr>
      <w:rPr>
        <w:rFonts w:ascii="Arial" w:hAnsi="Arial" w:hint="default"/>
      </w:rPr>
    </w:lvl>
    <w:lvl w:ilvl="4" w:tplc="3D9E3D16" w:tentative="1">
      <w:start w:val="1"/>
      <w:numFmt w:val="bullet"/>
      <w:lvlText w:val="•"/>
      <w:lvlJc w:val="left"/>
      <w:pPr>
        <w:tabs>
          <w:tab w:val="num" w:pos="3600"/>
        </w:tabs>
        <w:ind w:left="3600" w:hanging="360"/>
      </w:pPr>
      <w:rPr>
        <w:rFonts w:ascii="Arial" w:hAnsi="Arial" w:hint="default"/>
      </w:rPr>
    </w:lvl>
    <w:lvl w:ilvl="5" w:tplc="D456A14E" w:tentative="1">
      <w:start w:val="1"/>
      <w:numFmt w:val="bullet"/>
      <w:lvlText w:val="•"/>
      <w:lvlJc w:val="left"/>
      <w:pPr>
        <w:tabs>
          <w:tab w:val="num" w:pos="4320"/>
        </w:tabs>
        <w:ind w:left="4320" w:hanging="360"/>
      </w:pPr>
      <w:rPr>
        <w:rFonts w:ascii="Arial" w:hAnsi="Arial" w:hint="default"/>
      </w:rPr>
    </w:lvl>
    <w:lvl w:ilvl="6" w:tplc="9C3410A4" w:tentative="1">
      <w:start w:val="1"/>
      <w:numFmt w:val="bullet"/>
      <w:lvlText w:val="•"/>
      <w:lvlJc w:val="left"/>
      <w:pPr>
        <w:tabs>
          <w:tab w:val="num" w:pos="5040"/>
        </w:tabs>
        <w:ind w:left="5040" w:hanging="360"/>
      </w:pPr>
      <w:rPr>
        <w:rFonts w:ascii="Arial" w:hAnsi="Arial" w:hint="default"/>
      </w:rPr>
    </w:lvl>
    <w:lvl w:ilvl="7" w:tplc="CCA2DDB6" w:tentative="1">
      <w:start w:val="1"/>
      <w:numFmt w:val="bullet"/>
      <w:lvlText w:val="•"/>
      <w:lvlJc w:val="left"/>
      <w:pPr>
        <w:tabs>
          <w:tab w:val="num" w:pos="5760"/>
        </w:tabs>
        <w:ind w:left="5760" w:hanging="360"/>
      </w:pPr>
      <w:rPr>
        <w:rFonts w:ascii="Arial" w:hAnsi="Arial" w:hint="default"/>
      </w:rPr>
    </w:lvl>
    <w:lvl w:ilvl="8" w:tplc="25160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F749A"/>
    <w:multiLevelType w:val="hybridMultilevel"/>
    <w:tmpl w:val="FE603282"/>
    <w:lvl w:ilvl="0" w:tplc="22321BD8">
      <w:start w:val="1"/>
      <w:numFmt w:val="bullet"/>
      <w:lvlText w:val="•"/>
      <w:lvlJc w:val="left"/>
      <w:pPr>
        <w:tabs>
          <w:tab w:val="num" w:pos="720"/>
        </w:tabs>
        <w:ind w:left="720" w:hanging="360"/>
      </w:pPr>
      <w:rPr>
        <w:rFonts w:ascii="Arial" w:hAnsi="Arial" w:hint="default"/>
      </w:rPr>
    </w:lvl>
    <w:lvl w:ilvl="1" w:tplc="A13C030C">
      <w:start w:val="1"/>
      <w:numFmt w:val="bullet"/>
      <w:lvlText w:val="•"/>
      <w:lvlJc w:val="left"/>
      <w:pPr>
        <w:tabs>
          <w:tab w:val="num" w:pos="1440"/>
        </w:tabs>
        <w:ind w:left="1440" w:hanging="360"/>
      </w:pPr>
      <w:rPr>
        <w:rFonts w:ascii="Arial" w:hAnsi="Arial" w:hint="default"/>
      </w:rPr>
    </w:lvl>
    <w:lvl w:ilvl="2" w:tplc="2B665732">
      <w:numFmt w:val="bullet"/>
      <w:lvlText w:val="•"/>
      <w:lvlJc w:val="left"/>
      <w:pPr>
        <w:tabs>
          <w:tab w:val="num" w:pos="2160"/>
        </w:tabs>
        <w:ind w:left="2160" w:hanging="360"/>
      </w:pPr>
      <w:rPr>
        <w:rFonts w:ascii="Arial" w:hAnsi="Arial" w:hint="default"/>
      </w:rPr>
    </w:lvl>
    <w:lvl w:ilvl="3" w:tplc="97B8D6A8" w:tentative="1">
      <w:start w:val="1"/>
      <w:numFmt w:val="bullet"/>
      <w:lvlText w:val="•"/>
      <w:lvlJc w:val="left"/>
      <w:pPr>
        <w:tabs>
          <w:tab w:val="num" w:pos="2880"/>
        </w:tabs>
        <w:ind w:left="2880" w:hanging="360"/>
      </w:pPr>
      <w:rPr>
        <w:rFonts w:ascii="Arial" w:hAnsi="Arial" w:hint="default"/>
      </w:rPr>
    </w:lvl>
    <w:lvl w:ilvl="4" w:tplc="79A8AE4C" w:tentative="1">
      <w:start w:val="1"/>
      <w:numFmt w:val="bullet"/>
      <w:lvlText w:val="•"/>
      <w:lvlJc w:val="left"/>
      <w:pPr>
        <w:tabs>
          <w:tab w:val="num" w:pos="3600"/>
        </w:tabs>
        <w:ind w:left="3600" w:hanging="360"/>
      </w:pPr>
      <w:rPr>
        <w:rFonts w:ascii="Arial" w:hAnsi="Arial" w:hint="default"/>
      </w:rPr>
    </w:lvl>
    <w:lvl w:ilvl="5" w:tplc="0CD242D6" w:tentative="1">
      <w:start w:val="1"/>
      <w:numFmt w:val="bullet"/>
      <w:lvlText w:val="•"/>
      <w:lvlJc w:val="left"/>
      <w:pPr>
        <w:tabs>
          <w:tab w:val="num" w:pos="4320"/>
        </w:tabs>
        <w:ind w:left="4320" w:hanging="360"/>
      </w:pPr>
      <w:rPr>
        <w:rFonts w:ascii="Arial" w:hAnsi="Arial" w:hint="default"/>
      </w:rPr>
    </w:lvl>
    <w:lvl w:ilvl="6" w:tplc="7A0CB6D4" w:tentative="1">
      <w:start w:val="1"/>
      <w:numFmt w:val="bullet"/>
      <w:lvlText w:val="•"/>
      <w:lvlJc w:val="left"/>
      <w:pPr>
        <w:tabs>
          <w:tab w:val="num" w:pos="5040"/>
        </w:tabs>
        <w:ind w:left="5040" w:hanging="360"/>
      </w:pPr>
      <w:rPr>
        <w:rFonts w:ascii="Arial" w:hAnsi="Arial" w:hint="default"/>
      </w:rPr>
    </w:lvl>
    <w:lvl w:ilvl="7" w:tplc="897A9622" w:tentative="1">
      <w:start w:val="1"/>
      <w:numFmt w:val="bullet"/>
      <w:lvlText w:val="•"/>
      <w:lvlJc w:val="left"/>
      <w:pPr>
        <w:tabs>
          <w:tab w:val="num" w:pos="5760"/>
        </w:tabs>
        <w:ind w:left="5760" w:hanging="360"/>
      </w:pPr>
      <w:rPr>
        <w:rFonts w:ascii="Arial" w:hAnsi="Arial" w:hint="default"/>
      </w:rPr>
    </w:lvl>
    <w:lvl w:ilvl="8" w:tplc="21CE2B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260C16"/>
    <w:multiLevelType w:val="hybridMultilevel"/>
    <w:tmpl w:val="B378972C"/>
    <w:lvl w:ilvl="0" w:tplc="DD4E83F4">
      <w:start w:val="1"/>
      <w:numFmt w:val="bullet"/>
      <w:lvlText w:val="•"/>
      <w:lvlJc w:val="left"/>
      <w:pPr>
        <w:tabs>
          <w:tab w:val="num" w:pos="720"/>
        </w:tabs>
        <w:ind w:left="720" w:hanging="360"/>
      </w:pPr>
      <w:rPr>
        <w:rFonts w:ascii="Arial" w:hAnsi="Arial" w:hint="default"/>
      </w:rPr>
    </w:lvl>
    <w:lvl w:ilvl="1" w:tplc="C9D21274">
      <w:start w:val="1"/>
      <w:numFmt w:val="bullet"/>
      <w:lvlText w:val="•"/>
      <w:lvlJc w:val="left"/>
      <w:pPr>
        <w:tabs>
          <w:tab w:val="num" w:pos="1440"/>
        </w:tabs>
        <w:ind w:left="1440" w:hanging="360"/>
      </w:pPr>
      <w:rPr>
        <w:rFonts w:ascii="Arial" w:hAnsi="Arial" w:hint="default"/>
      </w:rPr>
    </w:lvl>
    <w:lvl w:ilvl="2" w:tplc="7330555A" w:tentative="1">
      <w:start w:val="1"/>
      <w:numFmt w:val="bullet"/>
      <w:lvlText w:val="•"/>
      <w:lvlJc w:val="left"/>
      <w:pPr>
        <w:tabs>
          <w:tab w:val="num" w:pos="2160"/>
        </w:tabs>
        <w:ind w:left="2160" w:hanging="360"/>
      </w:pPr>
      <w:rPr>
        <w:rFonts w:ascii="Arial" w:hAnsi="Arial" w:hint="default"/>
      </w:rPr>
    </w:lvl>
    <w:lvl w:ilvl="3" w:tplc="B67C595C" w:tentative="1">
      <w:start w:val="1"/>
      <w:numFmt w:val="bullet"/>
      <w:lvlText w:val="•"/>
      <w:lvlJc w:val="left"/>
      <w:pPr>
        <w:tabs>
          <w:tab w:val="num" w:pos="2880"/>
        </w:tabs>
        <w:ind w:left="2880" w:hanging="360"/>
      </w:pPr>
      <w:rPr>
        <w:rFonts w:ascii="Arial" w:hAnsi="Arial" w:hint="default"/>
      </w:rPr>
    </w:lvl>
    <w:lvl w:ilvl="4" w:tplc="AE3A7D00" w:tentative="1">
      <w:start w:val="1"/>
      <w:numFmt w:val="bullet"/>
      <w:lvlText w:val="•"/>
      <w:lvlJc w:val="left"/>
      <w:pPr>
        <w:tabs>
          <w:tab w:val="num" w:pos="3600"/>
        </w:tabs>
        <w:ind w:left="3600" w:hanging="360"/>
      </w:pPr>
      <w:rPr>
        <w:rFonts w:ascii="Arial" w:hAnsi="Arial" w:hint="default"/>
      </w:rPr>
    </w:lvl>
    <w:lvl w:ilvl="5" w:tplc="DEB088AA" w:tentative="1">
      <w:start w:val="1"/>
      <w:numFmt w:val="bullet"/>
      <w:lvlText w:val="•"/>
      <w:lvlJc w:val="left"/>
      <w:pPr>
        <w:tabs>
          <w:tab w:val="num" w:pos="4320"/>
        </w:tabs>
        <w:ind w:left="4320" w:hanging="360"/>
      </w:pPr>
      <w:rPr>
        <w:rFonts w:ascii="Arial" w:hAnsi="Arial" w:hint="default"/>
      </w:rPr>
    </w:lvl>
    <w:lvl w:ilvl="6" w:tplc="6596A8C4" w:tentative="1">
      <w:start w:val="1"/>
      <w:numFmt w:val="bullet"/>
      <w:lvlText w:val="•"/>
      <w:lvlJc w:val="left"/>
      <w:pPr>
        <w:tabs>
          <w:tab w:val="num" w:pos="5040"/>
        </w:tabs>
        <w:ind w:left="5040" w:hanging="360"/>
      </w:pPr>
      <w:rPr>
        <w:rFonts w:ascii="Arial" w:hAnsi="Arial" w:hint="default"/>
      </w:rPr>
    </w:lvl>
    <w:lvl w:ilvl="7" w:tplc="16DAED94" w:tentative="1">
      <w:start w:val="1"/>
      <w:numFmt w:val="bullet"/>
      <w:lvlText w:val="•"/>
      <w:lvlJc w:val="left"/>
      <w:pPr>
        <w:tabs>
          <w:tab w:val="num" w:pos="5760"/>
        </w:tabs>
        <w:ind w:left="5760" w:hanging="360"/>
      </w:pPr>
      <w:rPr>
        <w:rFonts w:ascii="Arial" w:hAnsi="Arial" w:hint="default"/>
      </w:rPr>
    </w:lvl>
    <w:lvl w:ilvl="8" w:tplc="F06C1D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ACA6C6E"/>
    <w:multiLevelType w:val="hybridMultilevel"/>
    <w:tmpl w:val="F7DA16C4"/>
    <w:lvl w:ilvl="0" w:tplc="B2A4A9CE">
      <w:start w:val="1"/>
      <w:numFmt w:val="bullet"/>
      <w:lvlText w:val="•"/>
      <w:lvlJc w:val="left"/>
      <w:pPr>
        <w:tabs>
          <w:tab w:val="num" w:pos="720"/>
        </w:tabs>
        <w:ind w:left="720" w:hanging="360"/>
      </w:pPr>
      <w:rPr>
        <w:rFonts w:ascii="Arial" w:hAnsi="Arial" w:hint="default"/>
      </w:rPr>
    </w:lvl>
    <w:lvl w:ilvl="1" w:tplc="E77C08D8">
      <w:numFmt w:val="bullet"/>
      <w:lvlText w:val="•"/>
      <w:lvlJc w:val="left"/>
      <w:pPr>
        <w:tabs>
          <w:tab w:val="num" w:pos="1440"/>
        </w:tabs>
        <w:ind w:left="1440" w:hanging="360"/>
      </w:pPr>
      <w:rPr>
        <w:rFonts w:ascii="Arial" w:hAnsi="Arial" w:hint="default"/>
      </w:rPr>
    </w:lvl>
    <w:lvl w:ilvl="2" w:tplc="AA4E0C0E" w:tentative="1">
      <w:start w:val="1"/>
      <w:numFmt w:val="bullet"/>
      <w:lvlText w:val="•"/>
      <w:lvlJc w:val="left"/>
      <w:pPr>
        <w:tabs>
          <w:tab w:val="num" w:pos="2160"/>
        </w:tabs>
        <w:ind w:left="2160" w:hanging="360"/>
      </w:pPr>
      <w:rPr>
        <w:rFonts w:ascii="Arial" w:hAnsi="Arial" w:hint="default"/>
      </w:rPr>
    </w:lvl>
    <w:lvl w:ilvl="3" w:tplc="EFDE9C80" w:tentative="1">
      <w:start w:val="1"/>
      <w:numFmt w:val="bullet"/>
      <w:lvlText w:val="•"/>
      <w:lvlJc w:val="left"/>
      <w:pPr>
        <w:tabs>
          <w:tab w:val="num" w:pos="2880"/>
        </w:tabs>
        <w:ind w:left="2880" w:hanging="360"/>
      </w:pPr>
      <w:rPr>
        <w:rFonts w:ascii="Arial" w:hAnsi="Arial" w:hint="default"/>
      </w:rPr>
    </w:lvl>
    <w:lvl w:ilvl="4" w:tplc="53125944" w:tentative="1">
      <w:start w:val="1"/>
      <w:numFmt w:val="bullet"/>
      <w:lvlText w:val="•"/>
      <w:lvlJc w:val="left"/>
      <w:pPr>
        <w:tabs>
          <w:tab w:val="num" w:pos="3600"/>
        </w:tabs>
        <w:ind w:left="3600" w:hanging="360"/>
      </w:pPr>
      <w:rPr>
        <w:rFonts w:ascii="Arial" w:hAnsi="Arial" w:hint="default"/>
      </w:rPr>
    </w:lvl>
    <w:lvl w:ilvl="5" w:tplc="16FACA24" w:tentative="1">
      <w:start w:val="1"/>
      <w:numFmt w:val="bullet"/>
      <w:lvlText w:val="•"/>
      <w:lvlJc w:val="left"/>
      <w:pPr>
        <w:tabs>
          <w:tab w:val="num" w:pos="4320"/>
        </w:tabs>
        <w:ind w:left="4320" w:hanging="360"/>
      </w:pPr>
      <w:rPr>
        <w:rFonts w:ascii="Arial" w:hAnsi="Arial" w:hint="default"/>
      </w:rPr>
    </w:lvl>
    <w:lvl w:ilvl="6" w:tplc="608AF80A" w:tentative="1">
      <w:start w:val="1"/>
      <w:numFmt w:val="bullet"/>
      <w:lvlText w:val="•"/>
      <w:lvlJc w:val="left"/>
      <w:pPr>
        <w:tabs>
          <w:tab w:val="num" w:pos="5040"/>
        </w:tabs>
        <w:ind w:left="5040" w:hanging="360"/>
      </w:pPr>
      <w:rPr>
        <w:rFonts w:ascii="Arial" w:hAnsi="Arial" w:hint="default"/>
      </w:rPr>
    </w:lvl>
    <w:lvl w:ilvl="7" w:tplc="5324F4F2" w:tentative="1">
      <w:start w:val="1"/>
      <w:numFmt w:val="bullet"/>
      <w:lvlText w:val="•"/>
      <w:lvlJc w:val="left"/>
      <w:pPr>
        <w:tabs>
          <w:tab w:val="num" w:pos="5760"/>
        </w:tabs>
        <w:ind w:left="5760" w:hanging="360"/>
      </w:pPr>
      <w:rPr>
        <w:rFonts w:ascii="Arial" w:hAnsi="Arial" w:hint="default"/>
      </w:rPr>
    </w:lvl>
    <w:lvl w:ilvl="8" w:tplc="9AAE8B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6"/>
  </w:num>
  <w:num w:numId="4">
    <w:abstractNumId w:val="9"/>
  </w:num>
  <w:num w:numId="5">
    <w:abstractNumId w:val="11"/>
  </w:num>
  <w:num w:numId="6">
    <w:abstractNumId w:val="3"/>
  </w:num>
  <w:num w:numId="7">
    <w:abstractNumId w:val="10"/>
  </w:num>
  <w:num w:numId="8">
    <w:abstractNumId w:val="8"/>
  </w:num>
  <w:num w:numId="9">
    <w:abstractNumId w:val="0"/>
  </w:num>
  <w:num w:numId="10">
    <w:abstractNumId w:val="1"/>
  </w:num>
  <w:num w:numId="11">
    <w:abstractNumId w:val="2"/>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342A"/>
    <w:rsid w:val="0001538E"/>
    <w:rsid w:val="00015EFB"/>
    <w:rsid w:val="000165E2"/>
    <w:rsid w:val="00016FEA"/>
    <w:rsid w:val="000172BE"/>
    <w:rsid w:val="00017D8A"/>
    <w:rsid w:val="00023388"/>
    <w:rsid w:val="00023425"/>
    <w:rsid w:val="000238CC"/>
    <w:rsid w:val="00023C30"/>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1F8"/>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183D"/>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5EB"/>
    <w:rsid w:val="00204BAD"/>
    <w:rsid w:val="00204D60"/>
    <w:rsid w:val="00204E5C"/>
    <w:rsid w:val="00205627"/>
    <w:rsid w:val="002056D0"/>
    <w:rsid w:val="002076B1"/>
    <w:rsid w:val="0020778E"/>
    <w:rsid w:val="00210860"/>
    <w:rsid w:val="00210B6A"/>
    <w:rsid w:val="00210C37"/>
    <w:rsid w:val="00212CB6"/>
    <w:rsid w:val="00212E37"/>
    <w:rsid w:val="0021369F"/>
    <w:rsid w:val="00213830"/>
    <w:rsid w:val="00213E03"/>
    <w:rsid w:val="002140FF"/>
    <w:rsid w:val="002163C3"/>
    <w:rsid w:val="00220894"/>
    <w:rsid w:val="0022484B"/>
    <w:rsid w:val="00224952"/>
    <w:rsid w:val="00224DD2"/>
    <w:rsid w:val="00225A6A"/>
    <w:rsid w:val="00225AC7"/>
    <w:rsid w:val="00225ACC"/>
    <w:rsid w:val="00230043"/>
    <w:rsid w:val="00230FF5"/>
    <w:rsid w:val="00231C25"/>
    <w:rsid w:val="00231C6F"/>
    <w:rsid w:val="00232A90"/>
    <w:rsid w:val="0023348C"/>
    <w:rsid w:val="00233B9E"/>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2C60"/>
    <w:rsid w:val="00323D6B"/>
    <w:rsid w:val="00326938"/>
    <w:rsid w:val="00326957"/>
    <w:rsid w:val="00326AE2"/>
    <w:rsid w:val="00331351"/>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3CC6"/>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0B35"/>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26D1"/>
    <w:rsid w:val="00494242"/>
    <w:rsid w:val="00494E8E"/>
    <w:rsid w:val="004955BC"/>
    <w:rsid w:val="00495D63"/>
    <w:rsid w:val="0049648F"/>
    <w:rsid w:val="00496606"/>
    <w:rsid w:val="00496F05"/>
    <w:rsid w:val="00497370"/>
    <w:rsid w:val="004A0F39"/>
    <w:rsid w:val="004A1293"/>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077D"/>
    <w:rsid w:val="004C1840"/>
    <w:rsid w:val="004C24C9"/>
    <w:rsid w:val="004C2CBB"/>
    <w:rsid w:val="004C31B6"/>
    <w:rsid w:val="004C5319"/>
    <w:rsid w:val="004C621F"/>
    <w:rsid w:val="004C6C97"/>
    <w:rsid w:val="004C7948"/>
    <w:rsid w:val="004C7BB8"/>
    <w:rsid w:val="004C7C60"/>
    <w:rsid w:val="004D0DFE"/>
    <w:rsid w:val="004D1D91"/>
    <w:rsid w:val="004D22C3"/>
    <w:rsid w:val="004D5456"/>
    <w:rsid w:val="004D6F4D"/>
    <w:rsid w:val="004D6F95"/>
    <w:rsid w:val="004D72FE"/>
    <w:rsid w:val="004D7E91"/>
    <w:rsid w:val="004E003A"/>
    <w:rsid w:val="004E0768"/>
    <w:rsid w:val="004E1A31"/>
    <w:rsid w:val="004E22B7"/>
    <w:rsid w:val="004E2C55"/>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6F33"/>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56EE"/>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50F"/>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4C4C"/>
    <w:rsid w:val="0062660B"/>
    <w:rsid w:val="00626AD1"/>
    <w:rsid w:val="006301E5"/>
    <w:rsid w:val="006304BC"/>
    <w:rsid w:val="00630DCE"/>
    <w:rsid w:val="0063120A"/>
    <w:rsid w:val="0063150B"/>
    <w:rsid w:val="00631585"/>
    <w:rsid w:val="00633732"/>
    <w:rsid w:val="00634ACF"/>
    <w:rsid w:val="00635035"/>
    <w:rsid w:val="0063580D"/>
    <w:rsid w:val="00635CAE"/>
    <w:rsid w:val="00635F51"/>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3BF"/>
    <w:rsid w:val="006A3E2B"/>
    <w:rsid w:val="006A4575"/>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599"/>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304E"/>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3C7"/>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049"/>
    <w:rsid w:val="00844196"/>
    <w:rsid w:val="00844442"/>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725"/>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A77D8"/>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177B5"/>
    <w:rsid w:val="009204C5"/>
    <w:rsid w:val="0092097E"/>
    <w:rsid w:val="0092180D"/>
    <w:rsid w:val="009232C9"/>
    <w:rsid w:val="00923608"/>
    <w:rsid w:val="009238E5"/>
    <w:rsid w:val="00923F12"/>
    <w:rsid w:val="00924FAF"/>
    <w:rsid w:val="00924FF8"/>
    <w:rsid w:val="00925BA8"/>
    <w:rsid w:val="00926DA7"/>
    <w:rsid w:val="00927F8B"/>
    <w:rsid w:val="00930062"/>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1FD"/>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47A"/>
    <w:rsid w:val="00A07A48"/>
    <w:rsid w:val="00A108EE"/>
    <w:rsid w:val="00A10BB8"/>
    <w:rsid w:val="00A1200D"/>
    <w:rsid w:val="00A12AE4"/>
    <w:rsid w:val="00A137E4"/>
    <w:rsid w:val="00A14813"/>
    <w:rsid w:val="00A1566A"/>
    <w:rsid w:val="00A15CF2"/>
    <w:rsid w:val="00A165BF"/>
    <w:rsid w:val="00A166F0"/>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616"/>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1F94"/>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8A"/>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29F4"/>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B71B4"/>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4A6C"/>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6D8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C0F"/>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26FE"/>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6694"/>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B7DF8"/>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452"/>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4FE2"/>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66FA"/>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46C"/>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583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786"/>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2"/>
      </w:numPr>
      <w:spacing w:before="120"/>
      <w:outlineLvl w:val="1"/>
    </w:pPr>
    <w:rPr>
      <w:b/>
      <w:bCs/>
      <w:sz w:val="24"/>
    </w:rPr>
  </w:style>
  <w:style w:type="paragraph" w:styleId="3">
    <w:name w:val="heading 3"/>
    <w:aliases w:val="heading 3,h3"/>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 w:type="paragraph" w:customStyle="1" w:styleId="B1">
    <w:name w:val="B1"/>
    <w:basedOn w:val="a8"/>
    <w:rsid w:val="004D5456"/>
    <w:pPr>
      <w:overflowPunct w:val="0"/>
      <w:snapToGrid/>
      <w:spacing w:after="180"/>
      <w:ind w:left="568" w:hanging="284"/>
      <w:jc w:val="left"/>
      <w:textAlignment w:val="baseline"/>
    </w:pPr>
    <w:rPr>
      <w:sz w:val="20"/>
      <w:szCs w:val="20"/>
      <w:lang w:val="en-GB" w:eastAsia="en-GB"/>
    </w:rPr>
  </w:style>
  <w:style w:type="paragraph" w:customStyle="1" w:styleId="B2">
    <w:name w:val="B2"/>
    <w:basedOn w:val="21"/>
    <w:rsid w:val="004D5456"/>
    <w:pPr>
      <w:overflowPunct w:val="0"/>
      <w:snapToGrid/>
      <w:spacing w:after="180"/>
      <w:ind w:leftChars="0" w:left="851" w:firstLineChars="0" w:hanging="284"/>
      <w:contextualSpacing w:val="0"/>
      <w:jc w:val="left"/>
      <w:textAlignment w:val="baseline"/>
    </w:pPr>
    <w:rPr>
      <w:sz w:val="20"/>
      <w:szCs w:val="20"/>
      <w:lang w:val="en-GB" w:eastAsia="en-GB"/>
    </w:rPr>
  </w:style>
  <w:style w:type="paragraph" w:styleId="21">
    <w:name w:val="List 2"/>
    <w:basedOn w:val="a0"/>
    <w:semiHidden/>
    <w:unhideWhenUsed/>
    <w:rsid w:val="004D545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0505510">
      <w:bodyDiv w:val="1"/>
      <w:marLeft w:val="0"/>
      <w:marRight w:val="0"/>
      <w:marTop w:val="0"/>
      <w:marBottom w:val="0"/>
      <w:divBdr>
        <w:top w:val="none" w:sz="0" w:space="0" w:color="auto"/>
        <w:left w:val="none" w:sz="0" w:space="0" w:color="auto"/>
        <w:bottom w:val="none" w:sz="0" w:space="0" w:color="auto"/>
        <w:right w:val="none" w:sz="0" w:space="0" w:color="auto"/>
      </w:divBdr>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39521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49343457">
      <w:bodyDiv w:val="1"/>
      <w:marLeft w:val="0"/>
      <w:marRight w:val="0"/>
      <w:marTop w:val="0"/>
      <w:marBottom w:val="0"/>
      <w:divBdr>
        <w:top w:val="none" w:sz="0" w:space="0" w:color="auto"/>
        <w:left w:val="none" w:sz="0" w:space="0" w:color="auto"/>
        <w:bottom w:val="none" w:sz="0" w:space="0" w:color="auto"/>
        <w:right w:val="none" w:sz="0" w:space="0" w:color="auto"/>
      </w:divBdr>
      <w:divsChild>
        <w:div w:id="1382631309">
          <w:marLeft w:val="1080"/>
          <w:marRight w:val="0"/>
          <w:marTop w:val="100"/>
          <w:marBottom w:val="0"/>
          <w:divBdr>
            <w:top w:val="none" w:sz="0" w:space="0" w:color="auto"/>
            <w:left w:val="none" w:sz="0" w:space="0" w:color="auto"/>
            <w:bottom w:val="none" w:sz="0" w:space="0" w:color="auto"/>
            <w:right w:val="none" w:sz="0" w:space="0" w:color="auto"/>
          </w:divBdr>
        </w:div>
        <w:div w:id="1608928684">
          <w:marLeft w:val="1800"/>
          <w:marRight w:val="0"/>
          <w:marTop w:val="100"/>
          <w:marBottom w:val="0"/>
          <w:divBdr>
            <w:top w:val="none" w:sz="0" w:space="0" w:color="auto"/>
            <w:left w:val="none" w:sz="0" w:space="0" w:color="auto"/>
            <w:bottom w:val="none" w:sz="0" w:space="0" w:color="auto"/>
            <w:right w:val="none" w:sz="0" w:space="0" w:color="auto"/>
          </w:divBdr>
        </w:div>
        <w:div w:id="485242644">
          <w:marLeft w:val="1800"/>
          <w:marRight w:val="0"/>
          <w:marTop w:val="100"/>
          <w:marBottom w:val="0"/>
          <w:divBdr>
            <w:top w:val="none" w:sz="0" w:space="0" w:color="auto"/>
            <w:left w:val="none" w:sz="0" w:space="0" w:color="auto"/>
            <w:bottom w:val="none" w:sz="0" w:space="0" w:color="auto"/>
            <w:right w:val="none" w:sz="0" w:space="0" w:color="auto"/>
          </w:divBdr>
        </w:div>
        <w:div w:id="1909421461">
          <w:marLeft w:val="1800"/>
          <w:marRight w:val="0"/>
          <w:marTop w:val="100"/>
          <w:marBottom w:val="0"/>
          <w:divBdr>
            <w:top w:val="none" w:sz="0" w:space="0" w:color="auto"/>
            <w:left w:val="none" w:sz="0" w:space="0" w:color="auto"/>
            <w:bottom w:val="none" w:sz="0" w:space="0" w:color="auto"/>
            <w:right w:val="none" w:sz="0" w:space="0" w:color="auto"/>
          </w:divBdr>
        </w:div>
        <w:div w:id="255015273">
          <w:marLeft w:val="1800"/>
          <w:marRight w:val="0"/>
          <w:marTop w:val="100"/>
          <w:marBottom w:val="0"/>
          <w:divBdr>
            <w:top w:val="none" w:sz="0" w:space="0" w:color="auto"/>
            <w:left w:val="none" w:sz="0" w:space="0" w:color="auto"/>
            <w:bottom w:val="none" w:sz="0" w:space="0" w:color="auto"/>
            <w:right w:val="none" w:sz="0" w:space="0" w:color="auto"/>
          </w:divBdr>
        </w:div>
        <w:div w:id="1539388754">
          <w:marLeft w:val="1080"/>
          <w:marRight w:val="0"/>
          <w:marTop w:val="100"/>
          <w:marBottom w:val="0"/>
          <w:divBdr>
            <w:top w:val="none" w:sz="0" w:space="0" w:color="auto"/>
            <w:left w:val="none" w:sz="0" w:space="0" w:color="auto"/>
            <w:bottom w:val="none" w:sz="0" w:space="0" w:color="auto"/>
            <w:right w:val="none" w:sz="0" w:space="0" w:color="auto"/>
          </w:divBdr>
        </w:div>
        <w:div w:id="1051880924">
          <w:marLeft w:val="1800"/>
          <w:marRight w:val="0"/>
          <w:marTop w:val="100"/>
          <w:marBottom w:val="0"/>
          <w:divBdr>
            <w:top w:val="none" w:sz="0" w:space="0" w:color="auto"/>
            <w:left w:val="none" w:sz="0" w:space="0" w:color="auto"/>
            <w:bottom w:val="none" w:sz="0" w:space="0" w:color="auto"/>
            <w:right w:val="none" w:sz="0" w:space="0" w:color="auto"/>
          </w:divBdr>
        </w:div>
        <w:div w:id="164172622">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0304">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43642820">
      <w:bodyDiv w:val="1"/>
      <w:marLeft w:val="0"/>
      <w:marRight w:val="0"/>
      <w:marTop w:val="0"/>
      <w:marBottom w:val="0"/>
      <w:divBdr>
        <w:top w:val="none" w:sz="0" w:space="0" w:color="auto"/>
        <w:left w:val="none" w:sz="0" w:space="0" w:color="auto"/>
        <w:bottom w:val="none" w:sz="0" w:space="0" w:color="auto"/>
        <w:right w:val="none" w:sz="0" w:space="0" w:color="auto"/>
      </w:divBdr>
      <w:divsChild>
        <w:div w:id="588319035">
          <w:marLeft w:val="360"/>
          <w:marRight w:val="0"/>
          <w:marTop w:val="200"/>
          <w:marBottom w:val="0"/>
          <w:divBdr>
            <w:top w:val="none" w:sz="0" w:space="0" w:color="auto"/>
            <w:left w:val="none" w:sz="0" w:space="0" w:color="auto"/>
            <w:bottom w:val="none" w:sz="0" w:space="0" w:color="auto"/>
            <w:right w:val="none" w:sz="0" w:space="0" w:color="auto"/>
          </w:divBdr>
        </w:div>
        <w:div w:id="1444419713">
          <w:marLeft w:val="360"/>
          <w:marRight w:val="0"/>
          <w:marTop w:val="200"/>
          <w:marBottom w:val="0"/>
          <w:divBdr>
            <w:top w:val="none" w:sz="0" w:space="0" w:color="auto"/>
            <w:left w:val="none" w:sz="0" w:space="0" w:color="auto"/>
            <w:bottom w:val="none" w:sz="0" w:space="0" w:color="auto"/>
            <w:right w:val="none" w:sz="0" w:space="0" w:color="auto"/>
          </w:divBdr>
        </w:div>
        <w:div w:id="1775516441">
          <w:marLeft w:val="1080"/>
          <w:marRight w:val="0"/>
          <w:marTop w:val="100"/>
          <w:marBottom w:val="0"/>
          <w:divBdr>
            <w:top w:val="none" w:sz="0" w:space="0" w:color="auto"/>
            <w:left w:val="none" w:sz="0" w:space="0" w:color="auto"/>
            <w:bottom w:val="none" w:sz="0" w:space="0" w:color="auto"/>
            <w:right w:val="none" w:sz="0" w:space="0" w:color="auto"/>
          </w:divBdr>
        </w:div>
        <w:div w:id="365259341">
          <w:marLeft w:val="1080"/>
          <w:marRight w:val="0"/>
          <w:marTop w:val="100"/>
          <w:marBottom w:val="0"/>
          <w:divBdr>
            <w:top w:val="none" w:sz="0" w:space="0" w:color="auto"/>
            <w:left w:val="none" w:sz="0" w:space="0" w:color="auto"/>
            <w:bottom w:val="none" w:sz="0" w:space="0" w:color="auto"/>
            <w:right w:val="none" w:sz="0" w:space="0" w:color="auto"/>
          </w:divBdr>
        </w:div>
        <w:div w:id="1945528098">
          <w:marLeft w:val="1080"/>
          <w:marRight w:val="0"/>
          <w:marTop w:val="100"/>
          <w:marBottom w:val="0"/>
          <w:divBdr>
            <w:top w:val="none" w:sz="0" w:space="0" w:color="auto"/>
            <w:left w:val="none" w:sz="0" w:space="0" w:color="auto"/>
            <w:bottom w:val="none" w:sz="0" w:space="0" w:color="auto"/>
            <w:right w:val="none" w:sz="0" w:space="0" w:color="auto"/>
          </w:divBdr>
        </w:div>
        <w:div w:id="1084958643">
          <w:marLeft w:val="1080"/>
          <w:marRight w:val="0"/>
          <w:marTop w:val="100"/>
          <w:marBottom w:val="0"/>
          <w:divBdr>
            <w:top w:val="none" w:sz="0" w:space="0" w:color="auto"/>
            <w:left w:val="none" w:sz="0" w:space="0" w:color="auto"/>
            <w:bottom w:val="none" w:sz="0" w:space="0" w:color="auto"/>
            <w:right w:val="none" w:sz="0" w:space="0" w:color="auto"/>
          </w:divBdr>
        </w:div>
        <w:div w:id="1503006165">
          <w:marLeft w:val="360"/>
          <w:marRight w:val="0"/>
          <w:marTop w:val="200"/>
          <w:marBottom w:val="0"/>
          <w:divBdr>
            <w:top w:val="none" w:sz="0" w:space="0" w:color="auto"/>
            <w:left w:val="none" w:sz="0" w:space="0" w:color="auto"/>
            <w:bottom w:val="none" w:sz="0" w:space="0" w:color="auto"/>
            <w:right w:val="none" w:sz="0" w:space="0" w:color="auto"/>
          </w:divBdr>
        </w:div>
        <w:div w:id="1943758703">
          <w:marLeft w:val="1080"/>
          <w:marRight w:val="0"/>
          <w:marTop w:val="100"/>
          <w:marBottom w:val="0"/>
          <w:divBdr>
            <w:top w:val="none" w:sz="0" w:space="0" w:color="auto"/>
            <w:left w:val="none" w:sz="0" w:space="0" w:color="auto"/>
            <w:bottom w:val="none" w:sz="0" w:space="0" w:color="auto"/>
            <w:right w:val="none" w:sz="0" w:space="0" w:color="auto"/>
          </w:divBdr>
        </w:div>
      </w:divsChild>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2184716">
      <w:bodyDiv w:val="1"/>
      <w:marLeft w:val="0"/>
      <w:marRight w:val="0"/>
      <w:marTop w:val="0"/>
      <w:marBottom w:val="0"/>
      <w:divBdr>
        <w:top w:val="none" w:sz="0" w:space="0" w:color="auto"/>
        <w:left w:val="none" w:sz="0" w:space="0" w:color="auto"/>
        <w:bottom w:val="none" w:sz="0" w:space="0" w:color="auto"/>
        <w:right w:val="none" w:sz="0" w:space="0" w:color="auto"/>
      </w:divBdr>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884676957">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57365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01022879">
      <w:bodyDiv w:val="1"/>
      <w:marLeft w:val="0"/>
      <w:marRight w:val="0"/>
      <w:marTop w:val="0"/>
      <w:marBottom w:val="0"/>
      <w:divBdr>
        <w:top w:val="none" w:sz="0" w:space="0" w:color="auto"/>
        <w:left w:val="none" w:sz="0" w:space="0" w:color="auto"/>
        <w:bottom w:val="none" w:sz="0" w:space="0" w:color="auto"/>
        <w:right w:val="none" w:sz="0" w:space="0" w:color="auto"/>
      </w:divBdr>
      <w:divsChild>
        <w:div w:id="1463696012">
          <w:marLeft w:val="360"/>
          <w:marRight w:val="0"/>
          <w:marTop w:val="200"/>
          <w:marBottom w:val="0"/>
          <w:divBdr>
            <w:top w:val="none" w:sz="0" w:space="0" w:color="auto"/>
            <w:left w:val="none" w:sz="0" w:space="0" w:color="auto"/>
            <w:bottom w:val="none" w:sz="0" w:space="0" w:color="auto"/>
            <w:right w:val="none" w:sz="0" w:space="0" w:color="auto"/>
          </w:divBdr>
        </w:div>
        <w:div w:id="1730152386">
          <w:marLeft w:val="360"/>
          <w:marRight w:val="0"/>
          <w:marTop w:val="200"/>
          <w:marBottom w:val="0"/>
          <w:divBdr>
            <w:top w:val="none" w:sz="0" w:space="0" w:color="auto"/>
            <w:left w:val="none" w:sz="0" w:space="0" w:color="auto"/>
            <w:bottom w:val="none" w:sz="0" w:space="0" w:color="auto"/>
            <w:right w:val="none" w:sz="0" w:space="0" w:color="auto"/>
          </w:divBdr>
        </w:div>
        <w:div w:id="1640914700">
          <w:marLeft w:val="1080"/>
          <w:marRight w:val="0"/>
          <w:marTop w:val="100"/>
          <w:marBottom w:val="0"/>
          <w:divBdr>
            <w:top w:val="none" w:sz="0" w:space="0" w:color="auto"/>
            <w:left w:val="none" w:sz="0" w:space="0" w:color="auto"/>
            <w:bottom w:val="none" w:sz="0" w:space="0" w:color="auto"/>
            <w:right w:val="none" w:sz="0" w:space="0" w:color="auto"/>
          </w:divBdr>
        </w:div>
        <w:div w:id="1973559383">
          <w:marLeft w:val="1080"/>
          <w:marRight w:val="0"/>
          <w:marTop w:val="100"/>
          <w:marBottom w:val="0"/>
          <w:divBdr>
            <w:top w:val="none" w:sz="0" w:space="0" w:color="auto"/>
            <w:left w:val="none" w:sz="0" w:space="0" w:color="auto"/>
            <w:bottom w:val="none" w:sz="0" w:space="0" w:color="auto"/>
            <w:right w:val="none" w:sz="0" w:space="0" w:color="auto"/>
          </w:divBdr>
        </w:div>
        <w:div w:id="862089278">
          <w:marLeft w:val="1080"/>
          <w:marRight w:val="0"/>
          <w:marTop w:val="100"/>
          <w:marBottom w:val="0"/>
          <w:divBdr>
            <w:top w:val="none" w:sz="0" w:space="0" w:color="auto"/>
            <w:left w:val="none" w:sz="0" w:space="0" w:color="auto"/>
            <w:bottom w:val="none" w:sz="0" w:space="0" w:color="auto"/>
            <w:right w:val="none" w:sz="0" w:space="0" w:color="auto"/>
          </w:divBdr>
        </w:div>
        <w:div w:id="1611548144">
          <w:marLeft w:val="1080"/>
          <w:marRight w:val="0"/>
          <w:marTop w:val="100"/>
          <w:marBottom w:val="0"/>
          <w:divBdr>
            <w:top w:val="none" w:sz="0" w:space="0" w:color="auto"/>
            <w:left w:val="none" w:sz="0" w:space="0" w:color="auto"/>
            <w:bottom w:val="none" w:sz="0" w:space="0" w:color="auto"/>
            <w:right w:val="none" w:sz="0" w:space="0" w:color="auto"/>
          </w:divBdr>
        </w:div>
        <w:div w:id="32117399">
          <w:marLeft w:val="360"/>
          <w:marRight w:val="0"/>
          <w:marTop w:val="200"/>
          <w:marBottom w:val="0"/>
          <w:divBdr>
            <w:top w:val="none" w:sz="0" w:space="0" w:color="auto"/>
            <w:left w:val="none" w:sz="0" w:space="0" w:color="auto"/>
            <w:bottom w:val="none" w:sz="0" w:space="0" w:color="auto"/>
            <w:right w:val="none" w:sz="0" w:space="0" w:color="auto"/>
          </w:divBdr>
        </w:div>
        <w:div w:id="678387627">
          <w:marLeft w:val="1080"/>
          <w:marRight w:val="0"/>
          <w:marTop w:val="100"/>
          <w:marBottom w:val="0"/>
          <w:divBdr>
            <w:top w:val="none" w:sz="0" w:space="0" w:color="auto"/>
            <w:left w:val="none" w:sz="0" w:space="0" w:color="auto"/>
            <w:bottom w:val="none" w:sz="0" w:space="0" w:color="auto"/>
            <w:right w:val="none" w:sz="0" w:space="0" w:color="auto"/>
          </w:divBdr>
        </w:div>
      </w:divsChild>
    </w:div>
    <w:div w:id="1152795670">
      <w:bodyDiv w:val="1"/>
      <w:marLeft w:val="0"/>
      <w:marRight w:val="0"/>
      <w:marTop w:val="0"/>
      <w:marBottom w:val="0"/>
      <w:divBdr>
        <w:top w:val="none" w:sz="0" w:space="0" w:color="auto"/>
        <w:left w:val="none" w:sz="0" w:space="0" w:color="auto"/>
        <w:bottom w:val="none" w:sz="0" w:space="0" w:color="auto"/>
        <w:right w:val="none" w:sz="0" w:space="0" w:color="auto"/>
      </w:divBdr>
    </w:div>
    <w:div w:id="116008042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378622521">
      <w:bodyDiv w:val="1"/>
      <w:marLeft w:val="0"/>
      <w:marRight w:val="0"/>
      <w:marTop w:val="0"/>
      <w:marBottom w:val="0"/>
      <w:divBdr>
        <w:top w:val="none" w:sz="0" w:space="0" w:color="auto"/>
        <w:left w:val="none" w:sz="0" w:space="0" w:color="auto"/>
        <w:bottom w:val="none" w:sz="0" w:space="0" w:color="auto"/>
        <w:right w:val="none" w:sz="0" w:space="0" w:color="auto"/>
      </w:divBdr>
      <w:divsChild>
        <w:div w:id="1770200321">
          <w:marLeft w:val="1080"/>
          <w:marRight w:val="0"/>
          <w:marTop w:val="100"/>
          <w:marBottom w:val="0"/>
          <w:divBdr>
            <w:top w:val="none" w:sz="0" w:space="0" w:color="auto"/>
            <w:left w:val="none" w:sz="0" w:space="0" w:color="auto"/>
            <w:bottom w:val="none" w:sz="0" w:space="0" w:color="auto"/>
            <w:right w:val="none" w:sz="0" w:space="0" w:color="auto"/>
          </w:divBdr>
        </w:div>
      </w:divsChild>
    </w:div>
    <w:div w:id="1393845384">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56411151">
      <w:bodyDiv w:val="1"/>
      <w:marLeft w:val="0"/>
      <w:marRight w:val="0"/>
      <w:marTop w:val="0"/>
      <w:marBottom w:val="0"/>
      <w:divBdr>
        <w:top w:val="none" w:sz="0" w:space="0" w:color="auto"/>
        <w:left w:val="none" w:sz="0" w:space="0" w:color="auto"/>
        <w:bottom w:val="none" w:sz="0" w:space="0" w:color="auto"/>
        <w:right w:val="none" w:sz="0" w:space="0" w:color="auto"/>
      </w:divBdr>
      <w:divsChild>
        <w:div w:id="1324504561">
          <w:marLeft w:val="360"/>
          <w:marRight w:val="0"/>
          <w:marTop w:val="200"/>
          <w:marBottom w:val="0"/>
          <w:divBdr>
            <w:top w:val="none" w:sz="0" w:space="0" w:color="auto"/>
            <w:left w:val="none" w:sz="0" w:space="0" w:color="auto"/>
            <w:bottom w:val="none" w:sz="0" w:space="0" w:color="auto"/>
            <w:right w:val="none" w:sz="0" w:space="0" w:color="auto"/>
          </w:divBdr>
        </w:div>
        <w:div w:id="1588997231">
          <w:marLeft w:val="1080"/>
          <w:marRight w:val="0"/>
          <w:marTop w:val="100"/>
          <w:marBottom w:val="0"/>
          <w:divBdr>
            <w:top w:val="none" w:sz="0" w:space="0" w:color="auto"/>
            <w:left w:val="none" w:sz="0" w:space="0" w:color="auto"/>
            <w:bottom w:val="none" w:sz="0" w:space="0" w:color="auto"/>
            <w:right w:val="none" w:sz="0" w:space="0" w:color="auto"/>
          </w:divBdr>
        </w:div>
        <w:div w:id="24212708">
          <w:marLeft w:val="1800"/>
          <w:marRight w:val="0"/>
          <w:marTop w:val="100"/>
          <w:marBottom w:val="0"/>
          <w:divBdr>
            <w:top w:val="none" w:sz="0" w:space="0" w:color="auto"/>
            <w:left w:val="none" w:sz="0" w:space="0" w:color="auto"/>
            <w:bottom w:val="none" w:sz="0" w:space="0" w:color="auto"/>
            <w:right w:val="none" w:sz="0" w:space="0" w:color="auto"/>
          </w:divBdr>
        </w:div>
        <w:div w:id="866530556">
          <w:marLeft w:val="1800"/>
          <w:marRight w:val="0"/>
          <w:marTop w:val="100"/>
          <w:marBottom w:val="0"/>
          <w:divBdr>
            <w:top w:val="none" w:sz="0" w:space="0" w:color="auto"/>
            <w:left w:val="none" w:sz="0" w:space="0" w:color="auto"/>
            <w:bottom w:val="none" w:sz="0" w:space="0" w:color="auto"/>
            <w:right w:val="none" w:sz="0" w:space="0" w:color="auto"/>
          </w:divBdr>
        </w:div>
        <w:div w:id="114956640">
          <w:marLeft w:val="1080"/>
          <w:marRight w:val="0"/>
          <w:marTop w:val="100"/>
          <w:marBottom w:val="0"/>
          <w:divBdr>
            <w:top w:val="none" w:sz="0" w:space="0" w:color="auto"/>
            <w:left w:val="none" w:sz="0" w:space="0" w:color="auto"/>
            <w:bottom w:val="none" w:sz="0" w:space="0" w:color="auto"/>
            <w:right w:val="none" w:sz="0" w:space="0" w:color="auto"/>
          </w:divBdr>
        </w:div>
        <w:div w:id="2144157673">
          <w:marLeft w:val="1800"/>
          <w:marRight w:val="0"/>
          <w:marTop w:val="100"/>
          <w:marBottom w:val="0"/>
          <w:divBdr>
            <w:top w:val="none" w:sz="0" w:space="0" w:color="auto"/>
            <w:left w:val="none" w:sz="0" w:space="0" w:color="auto"/>
            <w:bottom w:val="none" w:sz="0" w:space="0" w:color="auto"/>
            <w:right w:val="none" w:sz="0" w:space="0" w:color="auto"/>
          </w:divBdr>
        </w:div>
        <w:div w:id="2060280891">
          <w:marLeft w:val="1080"/>
          <w:marRight w:val="0"/>
          <w:marTop w:val="100"/>
          <w:marBottom w:val="0"/>
          <w:divBdr>
            <w:top w:val="none" w:sz="0" w:space="0" w:color="auto"/>
            <w:left w:val="none" w:sz="0" w:space="0" w:color="auto"/>
            <w:bottom w:val="none" w:sz="0" w:space="0" w:color="auto"/>
            <w:right w:val="none" w:sz="0" w:space="0" w:color="auto"/>
          </w:divBdr>
        </w:div>
      </w:divsChild>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087061">
      <w:bodyDiv w:val="1"/>
      <w:marLeft w:val="0"/>
      <w:marRight w:val="0"/>
      <w:marTop w:val="0"/>
      <w:marBottom w:val="0"/>
      <w:divBdr>
        <w:top w:val="none" w:sz="0" w:space="0" w:color="auto"/>
        <w:left w:val="none" w:sz="0" w:space="0" w:color="auto"/>
        <w:bottom w:val="none" w:sz="0" w:space="0" w:color="auto"/>
        <w:right w:val="none" w:sz="0" w:space="0" w:color="auto"/>
      </w:divBdr>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C3E3B7-674E-4C48-A46D-373172B34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2007-06-18T22:08:00Z</cp:lastPrinted>
  <dcterms:created xsi:type="dcterms:W3CDTF">2021-07-08T02:47:00Z</dcterms:created>
  <dcterms:modified xsi:type="dcterms:W3CDTF">2021-08-06T11:10:00Z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(3)NH2xUZv9hzR6Ec7Em7FkHYWX0HL8dGzBuQNTpXWHplz/1oIetrQir884Y+531I9pITTtp22U
GKxXDgi7ZkPFK3NZYO2GEMUCl9lP5WFWLfP/ES96/Qlsfwo0jYmOM1zeGFNjT06jYb4KpVCD
uEaMm46zmqGSFKBS97cEqEijg2xWJwhWx6zvpCVSi3Z1g0QIClqz85N2Fi8m1wGKRWMYUwPO
4azwsRX34yBiMJV/4l</vt:lpwstr>
  </property>
  <property fmtid="{D5CDD505-2E9C-101B-9397-08002B2CF9AE}" pid="13" name="_2015_ms_pID_725343_00">
    <vt:lpwstr>_2015_ms_pID_725343</vt:lpwstr>
  </property>
  <property fmtid="{D5CDD505-2E9C-101B-9397-08002B2CF9AE}" pid="14" name="_2015_ms_pID_7253431">
    <vt:lpwstr>Su4BLXH9wEuPcroVa1AgULoQ10ICw995w1++JUNqID/gdvsRBgwr/c
tupruvXKhlzJoI4e/kBnzawvKe8IdeCIl2vt6RvTuW8IKV7KV1Ef+Gokb+RlNujOmQPHO3Ox
LvHMl+deEgw2gk3u1Ok7QtDp08qKIGrVB7VFn5lA/aAj6O34X6IUnYV8h48w6HnoKDJWJN/f
z3sBA6TkZmPga7KgweJQFBOaailRDUSb6dHy</vt:lpwstr>
  </property>
  <property fmtid="{D5CDD505-2E9C-101B-9397-08002B2CF9AE}" pid="15" name="_2015_ms_pID_7253431_00">
    <vt:lpwstr>_2015_ms_pID_7253431</vt:lpwstr>
  </property>
  <property fmtid="{D5CDD505-2E9C-101B-9397-08002B2CF9AE}" pid="16" name="_2015_ms_pID_7253432">
    <vt:lpwstr>9mR0kI0h6C2OP6seIAQCtJ2evCVUzh3/Xeiv
vqs7dOEDG/oGUpqWzar722YyUwz7kg==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